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10, 2026</w:t>
      </w:r>
    </w:p>
    <w:p>
      <w:pPr>
        <w:spacing w:after="0" w:line="31" w:lineRule="exact"/>
        <w:rPr>
          <w:sz w:val="24"/>
          <w:szCs w:val="24"/>
          <w:color w:val="auto"/>
        </w:rPr>
      </w:pPr>
    </w:p>
    <w:p>
      <w:pPr>
        <w:ind w:left="93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 THE SECURITIES ACT OF 1933</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Adlai Nortye Ltd.</w:t>
      </w:r>
    </w:p>
    <w:p>
      <w:pPr>
        <w:spacing w:after="0" w:line="40"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0"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4"/>
        </w:trPr>
        <w:tc>
          <w:tcPr>
            <w:tcW w:w="5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PO Box 309, Ugland House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Cayman, KY1-1104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+1 848 230 7430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and telephone number of Registrant’s principal executive offices)</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Adlai Nortye USA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685 US Highway 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North Brunswick Township, NJ 08902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+1 848 230 7430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With a Copy to:</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Yu Wang,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Han Kun Law Offices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Rooms 4301-10, 43/F., Gloucester Tower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Landmark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 Queen’s Road Central, Hong Kong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+852 6386 1503</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Approximate date of commencement of proposed sale to the public: From time to time after the effective date of the registration statement.</w:t>
      </w:r>
    </w:p>
    <w:p>
      <w:pPr>
        <w:spacing w:after="0" w:line="10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5"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103" w:lineRule="exact"/>
        <w:rPr>
          <w:sz w:val="24"/>
          <w:szCs w:val="24"/>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90"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77"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104" w:gutter="0" w:footer="0" w:header="0"/>
        </w:sectPr>
      </w:pPr>
    </w:p>
    <w:bookmarkStart w:id="1" w:name="page2"/>
    <w:bookmarkEnd w:id="1"/>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We may not sell the securities until the registration statement filed with the Securities and Exchange Commission is effective. This prospectus is not an offer to sell these securities and it is not soliciting any offer to buy these securities in any jurisdiction where such offer or sale is not permitted.</w:t>
      </w:r>
    </w:p>
    <w:p>
      <w:pPr>
        <w:spacing w:after="0" w:line="171" w:lineRule="exact"/>
        <w:rPr>
          <w:sz w:val="20"/>
          <w:szCs w:val="20"/>
          <w:color w:val="auto"/>
        </w:rPr>
      </w:pPr>
    </w:p>
    <w:p>
      <w:pPr>
        <w:spacing w:after="0"/>
        <w:tabs>
          <w:tab w:leader="none" w:pos="9360" w:val="left"/>
        </w:tabs>
        <w:rPr>
          <w:sz w:val="20"/>
          <w:szCs w:val="20"/>
          <w:color w:val="auto"/>
        </w:rPr>
      </w:pPr>
      <w:r>
        <w:rPr>
          <w:rFonts w:ascii="Times New Roman" w:cs="Times New Roman" w:eastAsia="Times New Roman" w:hAnsi="Times New Roman"/>
          <w:sz w:val="18"/>
          <w:szCs w:val="18"/>
          <w:b w:val="1"/>
          <w:bCs w:val="1"/>
          <w:color w:val="FF0000"/>
        </w:rPr>
        <w:t>SUBJECT TO COMPLETION</w:t>
      </w:r>
      <w:r>
        <w:rPr>
          <w:sz w:val="20"/>
          <w:szCs w:val="20"/>
          <w:color w:val="auto"/>
        </w:rPr>
        <w:tab/>
      </w:r>
      <w:r>
        <w:rPr>
          <w:rFonts w:ascii="Times New Roman" w:cs="Times New Roman" w:eastAsia="Times New Roman" w:hAnsi="Times New Roman"/>
          <w:sz w:val="17"/>
          <w:szCs w:val="17"/>
          <w:b w:val="1"/>
          <w:bCs w:val="1"/>
          <w:color w:val="FF0000"/>
        </w:rPr>
        <w:t>DATED March 10,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US$600,000,000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 represented by American Depositary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64,615,386 Class A Ordinary Shares (represented by 21,538,462 American Depositary Shares) Offered by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Selling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142875</wp:posOffset>
            </wp:positionV>
            <wp:extent cx="1928495" cy="436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849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Adlai Nortye Ltd.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from time to time, in one or more offerings, offer and sell up to US$600,000,000 of Class A ordinary shares, par value US$0.0001 per share (“Ordinary Shares”), including Ordinary Shares represented by American Depositary Shares (“ADSs”), or any combination thereof, together or separately as described in this prospectus. In this prospectus, references to the term “securities” refers to our Ordinary Shares and our Ordinary Shares represented by ADSs. The Ordinary Shares may be represented by ADSs, each representing 3 Ordinary Shares. The prospectus supplement for each offering of securities will describe in detail the plan of distribution for that offering. For general information about the distribution of the securities offered, please see “Plan of Distribution” in this prospectus.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selling shareholders named in this prospectus or their transferees may, from time to time in one or more offerings, offer and sell up to 64,615,386 Class A Ordinary Shares (represented by 21,538,462 American Depositary Shares) which such selling shareholders acquired pursuant to securities purchase agreements entered into between the selling shareholders and the Company on February 1, and February 2, 2026. We will not receive any proceeds from the sale of our securities by our selling security holders, but we may pay certain registration and offering fees and expenses associated with the registration and sale of those securities. See “Selling shareholders.”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This prospectus provides a general description of the securities we or the selling shareholders may offer. We will provide the specific terms of the securities offered in one or more supplements to this prospectus. We may also authorize one or more free writing prospectuses to be provided to you in connection with these offerings. The prospectus supplement and any related free writing prospectus may add, update, or change information contained in this prospectus. You should read carefully this prospectus, the applicable prospectus supplement, and any related free writing prospectus, as well as the documents incorporated or deemed to be incorporated by reference, before you invest in any of our securities. </w:t>
      </w:r>
      <w:r>
        <w:rPr>
          <w:rFonts w:ascii="Times New Roman" w:cs="Times New Roman" w:eastAsia="Times New Roman" w:hAnsi="Times New Roman"/>
          <w:sz w:val="18"/>
          <w:szCs w:val="18"/>
          <w:b w:val="1"/>
          <w:bCs w:val="1"/>
          <w:color w:val="auto"/>
        </w:rPr>
        <w:t>This prospectus may not be used to 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 sell any securities unless accompanied by the applicable prospectus supplement.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from time to time, offer and sell these securities, from time to time, offer the securities through public or private transactions, directly or through one or more underwriters, dealers, brokers and agents, on or off the Nasdaq Capital Market, or Nasdaq, at prevailing market prices or at privately negotiated prices. If any underwriters, dealers, brokers or agents are involved in the sale of any of these securities, the applicable prospectus supplement will set forth the name of the underwriter, dealer, broker or agent and any applicable commissions or discounts. The offering price of such securities and the net proceeds we expect to receive from such sale will also be set forth in a prospectus supplement. See “Plan of Distribution” elsewhere in this prospectus for a more complete description of the ways in which the securities may be sold.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ADSs are listed on Nasdaq under the symbol “ANL.” On March 6, 2026, the last reported sale price of the ADSs on Nasdaq was US$8.91 per ADS.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Adlai Nortye Ltd. is not a Chinese operating company, but is a Cayman Islands holding company. Our daily operations are conducted primarily through our operating subsidiaries in the United States and mainland China. Investors purchasing the ADSs in this initial public offering are purchasing equity securities of our Cayman Islands holding company and are not purchasing equity securities of our operating subsidiaries. As a holding company, we may rely on dividends from our subsidiaries for our cash requirements, including any payment of dividends to our shareholders. The ability of our subsidiaries to pay dividends to us, however, may be restricted by the debt they incur on their own behalf and/or laws and regulations applicable to them. Unless otherwise indicated or the context otherwise requires, “we,” “us,” “our company,” and “our” refer to Adlai Nortye Ltd., our Cayman Islands holding company and its subsidiaries, which include those in the U.S. and mainland China that conduct daily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2" w:lineRule="auto"/>
        <w:rPr>
          <w:sz w:val="20"/>
          <w:szCs w:val="20"/>
          <w:color w:val="auto"/>
        </w:rPr>
      </w:pPr>
      <w:r>
        <w:rPr>
          <w:rFonts w:ascii="Times New Roman" w:cs="Times New Roman" w:eastAsia="Times New Roman" w:hAnsi="Times New Roman"/>
          <w:sz w:val="18"/>
          <w:szCs w:val="18"/>
          <w:color w:val="auto"/>
        </w:rPr>
        <w:t>If needed, cash can be transferred between our Cayman Islands holding company and subsidiaries incorporated in the United States, mainland China and Hong Kong through equity investments and intercompany loans. Currently, there are no restrictions of transferring funds between our Cayman Islands holding company and subsidiaries in the United States and Hong Kong; however, currency exchange control measures imposed by the PRC government may restrict the ability of our subsidiaries in the PRC to transfer their cash to our Cayman Islands holding company and other subsidiaries incorporated outside the PRC through loans, advances or cash dividends. We may also make loans and additional capital contribution to our subsidiaries or branches, subject to certain restrictions under the applicable local laws, including the laws of China. We have no plans to declare cash dividends in the near term, but as a holding company, we may depend on receipt of funds from one or more of our subsidiaries if we determine to pay cash dividends to holders of our ordinary shares and ADSs in the future. We do not have a regular dividend policy, and our Board of Directors has discretion as to whether to distribute dividends, subject to certain requirements of Cayman Islands law. As of the date of this prospectus, our Cayman Islands holding company has not declared or paid any dividends or distributions on equity to its shareholders. U.S. investors will not be subject to Cayman Islands taxation on dividend distributions, and no withholding will be required on the payment of dividends or distributions to them while they may be subject to U.S. federal income tax. Adlai Nortye Ltd., our Cayman Islands holding company, may be classified as a “resident enterprise” of China. This classification could result in unfavorable tax consequences to us and our non-PRC shareholders and dividends paid by us may be subject to PRC withholding tax. See “Item 10. Additional Information —E. Taxation — United States federal income tax considerations — Dividends.” of our most recent annual report for the financial year ended December 31, 2024 on Form 20-F filed with the Securities Exchange Commission (the “2024 Annual Report”). We have no plans to declare cash dividends in the near term, but as a holding company, we may depend on receipt of funds from one or more of our subsidiaries if we determine to pay cash dividends to holders of our ordinary shares and ADSs in the future. We do not have a regular dividend policy, and our board of directors has discretion as to whether to distribute dividends, subject to certain requirements of Cayman Islands law.</w:t>
      </w:r>
    </w:p>
    <w:p>
      <w:pPr>
        <w:spacing w:after="0" w:line="1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Holding Foreign Companies Accountable Act, or the HFCAA, the Public Company Accounting Oversight Board, or the PCAOB, issued a Determination Report in December 2021 which found that the PCAOB was unable to inspect or investigate completely registered public accounting firms headquartered in mainland China and Hong Kong because of positions taken by the authorities in those jurisdictions. Our current auditor, BDO China Shu Lun Pan Certified Public Accountants LLP (“BDO”), which is based in Shanghai, is currently subject to inspection by the PCAOB at least every two years. However, BDO is located in, and organized under the laws of, the PRC. On August 26, 2022, the PCAOB entered into a Statement of Protocol with the China Securities Regulatory Commission and the Ministry of Finance of the PRC and, as summarized in the “Statement on Agreement Governing Inspections and Investigations of Audit Firms Based in China and Hong Kong” published on the SEC’s official website, the parties agreed to the following:</w:t>
      </w:r>
    </w:p>
    <w:p>
      <w:pPr>
        <w:spacing w:after="0" w:line="3" w:lineRule="exact"/>
        <w:rPr>
          <w:sz w:val="20"/>
          <w:szCs w:val="20"/>
          <w:color w:val="auto"/>
        </w:rPr>
      </w:pPr>
    </w:p>
    <w:p>
      <w:pPr>
        <w:jc w:val="both"/>
        <w:ind w:firstLine="8"/>
        <w:spacing w:after="0" w:line="250" w:lineRule="auto"/>
        <w:tabs>
          <w:tab w:leader="none" w:pos="2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Sarbanes-Oxley Act of 2002, or the Sarbanes-Oxley Act, the PCAOB shall have independent discretion to select any issuer audits for inspection or investigation; (ii) the PCAOB shall have direct access to interview or take testimony from all personnel of the audit firms whose issuer engagements are being inspected or investigated; (iii) the PCAOB shall have the unfettered ability to transfer information to the SEC, in accordance with the Sarbanes-Oxley Act; and (iv) the PCAOB inspectors shall have access to complete audit work papers without any redactions, with view-only procedures for certain targeted pieces of information such as personally identifiable information. On December 15, 2022, the PCAOB issued a report that vacated its December 16, 2021 determination and removed mainland China and Hong Kong from the list of jurisdictions where it is unable to inspect or investigate completely registered public accounting firms. On December 29, 2022, legislation entitled “Consolidated Appropriations Act, 2023” (the “Consolidated Appropriations Act”), was signed into law by President Joseph Biden of the United States. The Consolidated Appropriations Act contained, among other things, an identical provision to Accelerating Holding Foreign Companies Accountable Act, which reduces the number of consecutive non-inspection years required for triggering the prohibitions under the HFCAA from three years to two. Each year, the PCAOB will determine whether it can inspect and investigate completely audit firms in mainland China and Hong Kong, among other jurisdictions. We cannot assure you that we will not be identified by the SEC under the HFCAA as an issuer that has retained an auditor that has a branch or office located in a foreign jurisdiction that the PCAOB determines it is unable to inspect or investigate completely because of a position taken by an authority in that foreign jurisdiction. In addition, there can be no assurance that, if we have a “non-inspection” year, we will be able to take any remedial measures. If we were so identified for two consecutive years, trading in our securities could in the future be prohibited under the HFCAA and, as a result, we cannot assure you that we will be able to maintain the listing of the ADSs on the Nasdaq Stock Market or that you will be allowed to trade the ADSs in the United States on the “over-the-counter” markets or otherwise. Should the ADSs become not listed or tradeable in the United States, the value of the ADSs could be materially affected. See “Item 3. Key Information—D. Risk Factors — Risks relating to our operation in the People’s Republic of China  — The ADSs may be delisted under the HFCAA if the PCAOB is unable to inspect auditors or their affiliates that are located in mainland China. The delisting of the ADSs, or the threat of such delisting, may materially and adversely affect the value of your investment. Additionally, the inability of the PCAOB to conduct inspections deprives our investors of the benefits of such inspections.” of the 2024 Annual Report for a detailed discussion.</w:t>
      </w:r>
    </w:p>
    <w:p>
      <w:pPr>
        <w:spacing w:after="0" w:line="1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under the applicable U.S. federal securities laws and are eligible for reduced public company reporting requirements. See “Risk Factors” in the 2024 Annual Report for factors you should consider before buying the ADSs.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other regulatory body has approved or disapproved of these securities or determined if this prospectus is truthful or complete. Any representation to the contrary is a criminal offense.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experienced and may continue to experience price volatility in our ordinary shares. See related risk factors in the 2024 Annual Report.</w:t>
      </w:r>
    </w:p>
    <w:p>
      <w:pPr>
        <w:spacing w:after="0" w:line="15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“Risk Factors” beginning on page 9 of this prospectus and risk factors set forth in the 2024 Annual Report, in other reports incorporated herein by reference, and in an applicable prospectus supplement under the heading “Risk Factors.”</w:t>
      </w:r>
    </w:p>
    <w:p>
      <w:pPr>
        <w:spacing w:after="0" w:line="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nor any other regulatory body has approved or disapproved of these securities or determined if this prospectus is truthful or complete. Any representation to the contrary is a criminal offense.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March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9"/>
        </w:trPr>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58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75"/>
        </w:trPr>
        <w:tc>
          <w:tcPr>
            <w:tcW w:w="44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584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4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Commonly Used Defined Terms</w:t>
            </w:r>
          </w:p>
        </w:tc>
        <w:tc>
          <w:tcPr>
            <w:tcW w:w="584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16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Cautionary Note Regarding Forward-Looking Statements</w:t>
            </w:r>
          </w:p>
        </w:tc>
        <w:tc>
          <w:tcPr>
            <w:tcW w:w="240" w:type="dxa"/>
            <w:vAlign w:val="bottom"/>
            <w:tcBorders>
              <w:bottom w:val="single" w:sz="8" w:color="CCEEFF"/>
            </w:tcBorders>
            <w:shd w:val="clear" w:color="auto" w:fill="CCEEFF"/>
          </w:tcPr>
          <w:p>
            <w:pPr>
              <w:spacing w:after="0"/>
              <w:rPr>
                <w:sz w:val="17"/>
                <w:szCs w:val="17"/>
                <w:color w:val="auto"/>
              </w:rPr>
            </w:pPr>
          </w:p>
        </w:tc>
        <w:tc>
          <w:tcPr>
            <w:tcW w:w="58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176"/>
        </w:trPr>
        <w:tc>
          <w:tcPr>
            <w:tcW w:w="44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6840" w:type="dxa"/>
            <w:vAlign w:val="bottom"/>
            <w:gridSpan w:val="2"/>
          </w:tcPr>
          <w:p>
            <w:pPr>
              <w:jc w:val="center"/>
              <w:ind w:left="57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3480" w:type="dxa"/>
            <w:vAlign w:val="bottom"/>
            <w:tcBorders>
              <w:bottom w:val="single" w:sz="8" w:color="CCEEFF"/>
            </w:tcBorders>
            <w:gridSpan w:val="15"/>
            <w:shd w:val="clear" w:color="auto" w:fill="CCEEFF"/>
          </w:tcPr>
          <w:p>
            <w:pPr>
              <w:spacing w:after="0"/>
              <w:rPr>
                <w:sz w:val="17"/>
                <w:szCs w:val="17"/>
                <w:color w:val="auto"/>
              </w:rPr>
            </w:pPr>
          </w:p>
        </w:tc>
        <w:tc>
          <w:tcPr>
            <w:tcW w:w="6840" w:type="dxa"/>
            <w:vAlign w:val="bottom"/>
            <w:tcBorders>
              <w:bottom w:val="single" w:sz="8" w:color="CCEEFF"/>
            </w:tcBorders>
            <w:gridSpan w:val="2"/>
            <w:shd w:val="clear" w:color="auto" w:fill="CCEEFF"/>
          </w:tcPr>
          <w:p>
            <w:pPr>
              <w:jc w:val="center"/>
              <w:ind w:left="575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5"/>
        </w:trPr>
        <w:tc>
          <w:tcPr>
            <w:tcW w:w="44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6840" w:type="dxa"/>
            <w:vAlign w:val="bottom"/>
            <w:gridSpan w:val="2"/>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4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Capitalization and Indebtedness</w:t>
            </w:r>
          </w:p>
        </w:tc>
        <w:tc>
          <w:tcPr>
            <w:tcW w:w="6840" w:type="dxa"/>
            <w:vAlign w:val="bottom"/>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6"/>
        </w:trPr>
        <w:tc>
          <w:tcPr>
            <w:tcW w:w="230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2100" w:type="dxa"/>
            <w:vAlign w:val="bottom"/>
            <w:tcBorders>
              <w:top w:val="single" w:sz="8" w:color="CCEEFF"/>
            </w:tcBorders>
            <w:gridSpan w:val="7"/>
          </w:tcPr>
          <w:p>
            <w:pPr>
              <w:spacing w:after="0"/>
              <w:rPr>
                <w:sz w:val="15"/>
                <w:szCs w:val="15"/>
                <w:color w:val="auto"/>
              </w:rPr>
            </w:pPr>
          </w:p>
        </w:tc>
        <w:tc>
          <w:tcPr>
            <w:tcW w:w="6840" w:type="dxa"/>
            <w:vAlign w:val="bottom"/>
            <w:tcBorders>
              <w:top w:val="single" w:sz="8" w:color="CCEEFF"/>
            </w:tcBorders>
            <w:gridSpan w:val="2"/>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220" w:type="dxa"/>
            <w:vAlign w:val="bottom"/>
            <w:tcBorders>
              <w:bottom w:val="single" w:sz="8" w:color="CCEEFF"/>
            </w:tcBorders>
            <w:gridSpan w:val="13"/>
            <w:shd w:val="clear" w:color="auto" w:fill="CCEEFF"/>
          </w:tcPr>
          <w:p>
            <w:pPr>
              <w:spacing w:after="0"/>
              <w:rPr>
                <w:sz w:val="17"/>
                <w:szCs w:val="17"/>
                <w:color w:val="auto"/>
              </w:rPr>
            </w:pPr>
          </w:p>
        </w:tc>
        <w:tc>
          <w:tcPr>
            <w:tcW w:w="6840" w:type="dxa"/>
            <w:vAlign w:val="bottom"/>
            <w:tcBorders>
              <w:bottom w:val="single" w:sz="8" w:color="CCEEFF"/>
            </w:tcBorders>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5"/>
        </w:trPr>
        <w:tc>
          <w:tcPr>
            <w:tcW w:w="44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6840" w:type="dxa"/>
            <w:vAlign w:val="bottom"/>
            <w:gridSpan w:val="2"/>
          </w:tcPr>
          <w:p>
            <w:pPr>
              <w:jc w:val="center"/>
              <w:ind w:left="5750"/>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2960" w:type="dxa"/>
            <w:vAlign w:val="bottom"/>
            <w:tcBorders>
              <w:bottom w:val="single" w:sz="8" w:color="CCEEFF"/>
            </w:tcBorders>
            <w:gridSpan w:val="12"/>
            <w:shd w:val="clear" w:color="auto" w:fill="CCEEFF"/>
          </w:tcPr>
          <w:p>
            <w:pPr>
              <w:spacing w:after="0"/>
              <w:rPr>
                <w:sz w:val="17"/>
                <w:szCs w:val="17"/>
                <w:color w:val="auto"/>
              </w:rPr>
            </w:pPr>
          </w:p>
        </w:tc>
        <w:tc>
          <w:tcPr>
            <w:tcW w:w="6840" w:type="dxa"/>
            <w:vAlign w:val="bottom"/>
            <w:tcBorders>
              <w:bottom w:val="single" w:sz="8" w:color="CCEEFF"/>
            </w:tcBorders>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5"/>
        </w:trPr>
        <w:tc>
          <w:tcPr>
            <w:tcW w:w="44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Selling shareholders</w:t>
            </w:r>
          </w:p>
        </w:tc>
        <w:tc>
          <w:tcPr>
            <w:tcW w:w="6840" w:type="dxa"/>
            <w:vAlign w:val="bottom"/>
            <w:gridSpan w:val="2"/>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Taxation</w:t>
            </w:r>
          </w:p>
        </w:tc>
        <w:tc>
          <w:tcPr>
            <w:tcW w:w="3760" w:type="dxa"/>
            <w:vAlign w:val="bottom"/>
            <w:tcBorders>
              <w:bottom w:val="single" w:sz="8" w:color="CCEEFF"/>
            </w:tcBorders>
            <w:gridSpan w:val="17"/>
            <w:shd w:val="clear" w:color="auto" w:fill="CCEEFF"/>
          </w:tcPr>
          <w:p>
            <w:pPr>
              <w:spacing w:after="0"/>
              <w:rPr>
                <w:sz w:val="17"/>
                <w:szCs w:val="17"/>
                <w:color w:val="auto"/>
              </w:rPr>
            </w:pPr>
          </w:p>
        </w:tc>
        <w:tc>
          <w:tcPr>
            <w:tcW w:w="6840" w:type="dxa"/>
            <w:vAlign w:val="bottom"/>
            <w:tcBorders>
              <w:bottom w:val="single" w:sz="8" w:color="CCEEFF"/>
            </w:tcBorders>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6"/>
        </w:trPr>
        <w:tc>
          <w:tcPr>
            <w:tcW w:w="44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Expenses</w:t>
            </w:r>
          </w:p>
        </w:tc>
        <w:tc>
          <w:tcPr>
            <w:tcW w:w="6840" w:type="dxa"/>
            <w:vAlign w:val="bottom"/>
            <w:gridSpan w:val="2"/>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Matters</w:t>
            </w:r>
          </w:p>
        </w:tc>
        <w:tc>
          <w:tcPr>
            <w:tcW w:w="3380" w:type="dxa"/>
            <w:vAlign w:val="bottom"/>
            <w:tcBorders>
              <w:bottom w:val="single" w:sz="8" w:color="CCEEFF"/>
            </w:tcBorders>
            <w:gridSpan w:val="14"/>
            <w:shd w:val="clear" w:color="auto" w:fill="CCEEFF"/>
          </w:tcPr>
          <w:p>
            <w:pPr>
              <w:spacing w:after="0"/>
              <w:rPr>
                <w:sz w:val="17"/>
                <w:szCs w:val="17"/>
                <w:color w:val="auto"/>
              </w:rPr>
            </w:pPr>
          </w:p>
        </w:tc>
        <w:tc>
          <w:tcPr>
            <w:tcW w:w="6840" w:type="dxa"/>
            <w:vAlign w:val="bottom"/>
            <w:tcBorders>
              <w:bottom w:val="single" w:sz="8" w:color="CCEEFF"/>
            </w:tcBorders>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5"/>
        </w:trPr>
        <w:tc>
          <w:tcPr>
            <w:tcW w:w="44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6840" w:type="dxa"/>
            <w:vAlign w:val="bottom"/>
            <w:gridSpan w:val="2"/>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66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Incorporation of Certain Information by Reference</w:t>
            </w:r>
          </w:p>
        </w:tc>
        <w:tc>
          <w:tcPr>
            <w:tcW w:w="740" w:type="dxa"/>
            <w:vAlign w:val="bottom"/>
            <w:tcBorders>
              <w:bottom w:val="single" w:sz="8" w:color="CCEEFF"/>
            </w:tcBorders>
            <w:gridSpan w:val="2"/>
            <w:shd w:val="clear" w:color="auto" w:fill="CCEEFF"/>
          </w:tcPr>
          <w:p>
            <w:pPr>
              <w:spacing w:after="0"/>
              <w:rPr>
                <w:sz w:val="17"/>
                <w:szCs w:val="17"/>
                <w:color w:val="auto"/>
              </w:rPr>
            </w:pPr>
          </w:p>
        </w:tc>
        <w:tc>
          <w:tcPr>
            <w:tcW w:w="6840" w:type="dxa"/>
            <w:vAlign w:val="bottom"/>
            <w:tcBorders>
              <w:bottom w:val="single" w:sz="8" w:color="CCEEFF"/>
            </w:tcBorders>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175"/>
        </w:trPr>
        <w:tc>
          <w:tcPr>
            <w:tcW w:w="44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6840" w:type="dxa"/>
            <w:vAlign w:val="bottom"/>
            <w:gridSpan w:val="2"/>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44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6840" w:type="dxa"/>
            <w:vAlign w:val="bottom"/>
            <w:gridSpan w:val="2"/>
            <w:shd w:val="clear" w:color="auto" w:fill="CCEEFF"/>
          </w:tcPr>
          <w:p>
            <w:pPr>
              <w:jc w:val="center"/>
              <w:ind w:left="577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(the “SEC”) utilizing a “shelf” registration process. Under this shelf registration process, we may, from time to time, sell the securities described in this prospectus in one or more offerings, up to a total offering amount of US$ 600,000,000 of the securities, and the selling shareholders referred to in this prospectus and identified in supplements to this prospectus may sell up to an aggregate amount of 64,615,386 Class A Ordinary Shares (represented by 21,538,462 American Depositary Shares, or ADSs) in one or more offerings. Our ADSs, each representing three Class A Ordinary Shares, are listed on the Nasdaq Stock Market.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This prospectus and any accompanying prospectus supplement do not contain all of the information included in the registration statement. We have omitted parts of the registration statement in accordance with the rules and regulations of the SEC. Statements contained in this prospectus and any accompanying prospectus supplement about the provisions or contents of any agreement or other documents are not necessarily complete. If the SEC rules and regulations require that an agreement or other document be filed as an exhibit to the registration statement, please see that agreement or document for a complete description of these matters. This prospectus may be supplemented by a prospectus supplement that may add, update, or change information contained or incorporated by reference in this prospectus. You should read both this prospectus and any prospectus supplement or other offering materials together with additional information described under the headings “Where You Can Find Additional Information” and “Incorporation of Documents by Reference.”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time we sell securities under this shelf registration, we will provide a prospectus supplement that will contain certain specific information about the terms of that offering, including a description of any risks related to the offering. A prospectus supplement may also add, update, or change information contained in this prospectus (including documents incorporated herein by reference). If there is any inconsistency between the information in this prospectus and the applicable prospectus supplement, you should rely on the information in the prospectus supplement. The registration statement we filed with the SEC includes exhibits that provide more details on the matters discussed in this prospectus. You should read this prospectus and the related exhibits filed with the SEC and the accompanying prospectus supplement together with additional information described under the headings “Incorporation of Documents by Reference” before investing in any of the securities offered.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provided or incorporated by reference in this prospectus or in the prospectus supplement. Neither we nor the selling shareholders have authorized anyone to provide you with additional or different information. Neither we nor the selling shareholders take responsibility for, nor can we provide assurance as to the reliability of, any other information that others may provide. Neither we nor the selling shareholders are making an offer to sell these securities in any jurisdiction where the offer or sale is not permitted. You should assume that the information in this prospectus, any applicable prospectus supplement or any related free writing prospectus is accurate only as of the date on the front of the document and that any information incorporated by reference is accurate only as of the date of the document incorporated by reference, regardless of the time of delivery of this prospectus, any applicable prospectus supplement or any related free writing prospectus, or any sale of a security, unless we indicate otherwise. Our business, financial condition, results of operations and/or prospects may have changed since those dates.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permitted by SEC rules and regulations, the registration statement of which this prospectus forms a part includes additional information not contained in this prospectus. You may read the registration statement and the other reports we file with the SEC at its website or at its offices described below under “Where You Can Find Additional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COMMONLY USED DEFINED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or the context requires otherwise, references in this prospectus or in a prospectus supplement to:</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are to the American depositary receipts that may evidence the ADSs;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the American depositary shares, each of which represents our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“BVI” are to the British Virgin Islands;</w:t>
      </w:r>
    </w:p>
    <w:p>
      <w:pPr>
        <w:spacing w:after="0" w:line="225" w:lineRule="exact"/>
        <w:rPr>
          <w:rFonts w:ascii="Times New Roman" w:cs="Times New Roman" w:eastAsia="Times New Roman" w:hAnsi="Times New Roman"/>
          <w:sz w:val="18"/>
          <w:szCs w:val="18"/>
          <w:color w:val="auto"/>
        </w:rPr>
      </w:pPr>
    </w:p>
    <w:p>
      <w:pPr>
        <w:ind w:left="660" w:hanging="283"/>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are to the People’s Republic of China;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are to our Class A ordinary shares, par value US$0.0001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are to our Class B ordinary shares, par value US$0.0001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“Hangzhou Adlai” is to Adlai Nortye Biopharma Co., Ltd., our wholly foreign-owned enterprise incorporated in the PRC;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is to Hong Kong Special Administrative Region of China;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“Macau” is to Macau Special Administrative Region of China;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are to the legal currency of China;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“ordinary shares” are to our Class A ordinary shares and Class B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 or “dollars” are to the legal currency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are to accounting principles generally accepted in the United States;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“our” and “ANL” are to Adlai Nortye Ltd., our Cayman Islands holding company and its subsidiaries, which include those in the U.S. and mainland China that conduct daily operations.</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an applicable prospectus supplement, and our SEC filings that are incorporated by reference into this prospectus contain or incorporate by reference forward-looking statements within the meaning of Section 27A of the Securities Act and Section 21E of the Securities Exchange Act of 1934, as amended (the “Exchange Act”). Many of the forward-looking statements contained in this prospectus can be identified by the use of forward-looking words such as “anticipate,” “believe,” “could,” “expect,” “should,” “plan,” “intend,” “estimate,” and “potential,” among others.</w:t>
      </w:r>
    </w:p>
    <w:p>
      <w:pPr>
        <w:spacing w:after="0" w:line="180" w:lineRule="exact"/>
        <w:rPr>
          <w:sz w:val="20"/>
          <w:szCs w:val="20"/>
          <w:color w:val="auto"/>
        </w:rPr>
      </w:pPr>
    </w:p>
    <w:p>
      <w:pPr>
        <w:jc w:val="both"/>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Forward-looking statements appear in a number of places in this prospectus, an applicable prospectus supplement, and our SEC filings that are incorporated by reference into this prospectus. These forward-looking statements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“Item 3. Key Information—3.D. Risk Factors” in </w:t>
      </w:r>
      <w:hyperlink r:id="rId19">
        <w:r>
          <w:rPr>
            <w:rFonts w:ascii="Times New Roman" w:cs="Times New Roman" w:eastAsia="Times New Roman" w:hAnsi="Times New Roman"/>
            <w:sz w:val="18"/>
            <w:szCs w:val="18"/>
            <w:u w:val="single" w:color="auto"/>
            <w:color w:val="0000EE"/>
          </w:rPr>
          <w:t>our annual report on Form 20-F for the fiscal year ended December 31, 2024</w:t>
        </w:r>
      </w:hyperlink>
      <w:r>
        <w:rPr>
          <w:rFonts w:ascii="Times New Roman" w:cs="Times New Roman" w:eastAsia="Times New Roman" w:hAnsi="Times New Roman"/>
          <w:sz w:val="18"/>
          <w:szCs w:val="18"/>
          <w:color w:val="auto"/>
        </w:rPr>
        <w:t>. These risks and uncertainties include factors relating to:</w:t>
      </w:r>
    </w:p>
    <w:p>
      <w:pPr>
        <w:spacing w:after="0" w:line="18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strategies and plans to achieve these strategies;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clinical trials for drug candidates we may develop;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to obtain the relevant requisite regulatory approvals of our drug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feasibility to successfully commercialize our drug candidates in a timely manner;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competitive conditions and the feasibility to compete under these conditions;</w:t>
      </w:r>
    </w:p>
    <w:p>
      <w:pPr>
        <w:spacing w:after="0" w:line="225"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drug candidates, including our estimates of the number of patients who suffer from the diseases we are targeting;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to maintain the collaboration with licensors, and establish or maintain future collaborations or strategic relationships;</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feasibility to obtain, and negotiate favorable terms of, any collaboration, licensing or other arrangements that may be necessary or desirable to develop, manufacture or commercialize our drug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political and regulatory environment in the industry and markets in which we operate;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the global financial markets and economic crisis;</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volatility in interest rates, foreign exchange rates, equity prices, volumes, operations, margins, risk management, and overall market trends;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JOBS Act;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 You are cautioned to consider these and any other factors that are discussed in the section entitled “Risk Factors” elsewhere in this prospectus, in our most recent Annual Report on Form 20-F and in any prospectus supplement or documents we incorporate by reference into this prospectus. These risks are not exhaustive. These risks could cause actual results to differ materially from those implied by forward-looking statements in this prospectus.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6476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27875" cy="6476365"/>
                    </a:xfrm>
                    <a:prstGeom prst="rect">
                      <a:avLst/>
                    </a:prstGeom>
                    <a:noFill/>
                  </pic:spPr>
                </pic:pic>
              </a:graphicData>
            </a:graphic>
          </wp:anchor>
        </w:drawing>
        <w:t>PROSPECTUS SUMMARY</w:t>
      </w:r>
    </w:p>
    <w:p>
      <w:pPr>
        <w:spacing w:after="0" w:line="200" w:lineRule="exact"/>
        <w:rPr>
          <w:sz w:val="20"/>
          <w:szCs w:val="20"/>
          <w:color w:val="auto"/>
        </w:rPr>
      </w:pPr>
    </w:p>
    <w:p>
      <w:pPr>
        <w:spacing w:after="0" w:line="24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highlights only some of the information included or incorporated by reference in this prospectus. You should carefully read this prospectus together with the additional information about us described in the sections entitled “Where You Can Find Additional Information” and “Incorporation of Certain Information by Reference” before purchasing our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and Development of the Company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commenced our business in mainland China in 2004 through Adlai Nortye Biopharma Co., Ltd., which we refer to as our operating subsidiary in the PRC. We initially focused primarily on generic pharmaceuticals and polypeptide intermediate, until 2016 when our founders, Mr. Yang Lu and Mr. Donghui Yang, led our strategic transition to become a R&amp;D-driven pharmaceutical company, focusing on the discovery and development of innovative cancer therapies.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ultimate holding company was incorporated in the Cayman Islands in May 2018 to facilitate offshore financing activities, and our daily operations are conducted primarily through our operating subsidiaries in the United States and mainland China. Between January 2018 and June 2022, Alpine Bioscience Ltd, Adlai Nortye Pte. Ltd., Adlai Nortye (HK) Limited, and Adlai Nortye (Switzerland) AG were incorporated in the British Virgin Islands, Singapore, Hong Kong, and Switzerland as our intermediary holding entities. In March 2019, Adlai Nortye (HK) Limited acquired entire equity interests in Adlai Nortye Biopharma Co., Ltd. from its then shareholders and Adlai Nortye Biopharma Co., Ltd. became a wholly owned subsidiary of our ultimate holding company.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conduct clinical trials in the U.S., Adlai Nortye USA INC was incorporated under the laws of the State of Delaware in the U.S. in January 2018. In June 2022, as a part of a reorganization, Adlai Nortye (Switzerland) AG acquired all its shares and Adlai Nortye USA INC become a wholly owned subsidiary of our ultimate holding company.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address of our registered office in Cayman Islands and our principal executive office is at c/o PO Box 309, Ugland House, Grand Cayman KY1-1104, Cayman Islands. Our telephone number is +1 848-230-7430. The United States and China are two important markets and locations for our operations. In addition to our principal executive office in the Cayman Islands, we also have two regional headquarters at (i) New Jersey Biotechnology Development Center, 685 US Hwy 1, 2nd floor, North Brunswick Township, NJ 08902, the United States and (ii) Building 6 &amp; 8, 1008 Xiangwang Street, Yuhang District, Hangzhou, Zhejiang, the People’s Republic of China. Our agent for service of process in the United States is Cogency Global Inc., with the address at 122 East 42nd Street, 18th Floor, New York, NY 10168.</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September 2023, we became a publicly traded company on the Nasdaq under the symbol “ANL.” Our reports filed with or furnished to the SEC are available on our website at </w:t>
      </w:r>
      <w:r>
        <w:rPr>
          <w:rFonts w:ascii="Times New Roman" w:cs="Times New Roman" w:eastAsia="Times New Roman" w:hAnsi="Times New Roman"/>
          <w:sz w:val="18"/>
          <w:szCs w:val="18"/>
          <w:i w:val="1"/>
          <w:iCs w:val="1"/>
          <w:color w:val="auto"/>
        </w:rPr>
        <w:t>https://www.adlainortye.com</w:t>
      </w:r>
      <w:r>
        <w:rPr>
          <w:rFonts w:ascii="Times New Roman" w:cs="Times New Roman" w:eastAsia="Times New Roman" w:hAnsi="Times New Roman"/>
          <w:sz w:val="18"/>
          <w:szCs w:val="18"/>
          <w:color w:val="auto"/>
        </w:rPr>
        <w:t xml:space="preserve"> as soon as reasonably practicable after we electronically file such material with, or furnish it to, the SEC. The information contained on our websites is not a part of this annual report. The SEC maintains a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that contains reports and other information regarding us and other companies that file materials with the SEC electronically.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global clinical-stage company at the forefront of discovering and developing innovative cancer therapies. Leveraging our dual R&amp;D presence in the U.S. and China, we are building a robust pipeline of drug candidates focused on two key areas where we believe we can make a significant difference. (1) Next-generation cancer immunotherapies: our candidates, AN8025 (a tri-functional fusion protein of αPD-L1 x CD86 variant x LAG3 variant), a T-cell and antigen-presenting cell modulator, and AN4005 (a first-in-class oral small-molecule PD-L1 inhibitor), are designed to activate cancer immunity in novel ways. (2) RAS-targeting therapies: we are tackling RAS-driven cancers with AN9025, an oral pan-RAS(ON) inhibitor, and AN4035, a CEACAM5-targeting ADC delivering a potent pan-RAS(ON) inhibitor directly to tumors.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43"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8610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27875" cy="8610600"/>
                    </a:xfrm>
                    <a:prstGeom prst="rect">
                      <a:avLst/>
                    </a:prstGeom>
                    <a:noFill/>
                  </pic:spPr>
                </pic:pic>
              </a:graphicData>
            </a:graphic>
          </wp:anchor>
        </w:drawing>
        <w:t>Our pipeline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advancing a robust pipeline of innovative drug candidates in various stages of development. The following chart provides an overview of the status of our drug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AN8025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AN8025 is a next-generation tri-specific antibody fusion protein derived from an approved αPD-L1 antibody and fused with functionally optimized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CD86 variant and LAG3 variant. Designed to modulate T cell and antigen-presenting cell (APC) functions, preclinical studies have demonstrated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AN8025 enhances both the quantity and quality of APCs while also inducing robust PD-L1-dependent T cell activation and anti-tumor efficacy in vivo.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clinical phase I study of AN8025 is currently ongoing.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AN9025</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AN9025 is an oral small molecule pan-RAS(ON) inhibitor with best-in-class potential, designed to target a broad spectrum of RAS mutations across various tumor types. Preclinical studies have demonstrated that AN9025 effectively inhibits RAS-mutant cancers with potent and durable efficacy, including pancreatic, lung, and colorectal adenocarcinomas, and shows comparable or superior results relative to a benchmark agent of the same class. The clinical phase I study of AN9025 is currently ongoing.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AN4035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AN4035 is a proprietary CEACAM5-targeting antibody drug conjugate (ADC) designed to deliver potent anti-tumor activity with an improved therapeutic window. It is armed with highly potent pan-RAS(ON) inhibitor payload, which effectively target a broad spectrum of CEACAM5-expressing, RAS-driven cancers. We expect to submit IND in the middle of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AN4005</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AN4005 is an orally available, small-molecule PD-L1 inhibitor that demonstrates antitumor activity by the blockade of PD-1/PD-L1 interaction. Preliminary results from the Dose-Escalation Phase, presented at SITC 2024, demonstrated that AN4005 exhibits favorable safety and tolerability in patients with advanced tumors. Encouraging preliminary efficacy was observed in a tumor type known to respond to anti-PD-(L)1 therapy. The trial has now advanced to the Expansion Phase, evaluating two doses of AN4005 in checkpoint inhibitor-naïve patients. Proof-of-concept data from the Expansion Phase is expected to be presented in a conference in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AN0025</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AN0025 is a small molecule EP4 antagonist designed to modulate the tumor microenvironment. In the phase Ib study of preoperative AN0025 and radiotherapy/chemoradiotherapy combination in rectum cancer, preliminary efficacy results (20% clinical complete response (cCR) and 16% pathologic complete response (pCR)) are encouraging. ARTEMIS (Augmenting RadioTherapy in REctal Cancer to Minimise Invasive Surgery) phase II study of preoperative AN0025 and radiotherapy/chemoradiotherapy combination in rectum cancer is ongoing. The futility analysis result is expected by the first quarter of 2026.</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43" w:right="459" w:bottom="1163"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9279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27875" cy="9279255"/>
                    </a:xfrm>
                    <a:prstGeom prst="rect">
                      <a:avLst/>
                    </a:prstGeom>
                    <a:noFill/>
                  </pic:spPr>
                </pic:pic>
              </a:graphicData>
            </a:graphic>
          </wp:anchor>
        </w:drawing>
        <w:t>Our company history and team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rebranded in 2016 as Adlai Nortye Biopharma and began development activities focusing on the discovery and development of innovative cancer therapies, after originally incorporating in 2004. We have assembled an experienced management team consisting of successful entrepreneurs and industry veterans.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founder, chief executive officer, and chairman of our board of directors, Mr. Yang Lu is a successful entrepreneur who brings expertise across the domains of business development, operations, and management. Our president, Dr. Kaiyang Tang, has deep experience in global clinical operations and regulatory affairs in the pharmaceutical industry, and has served as a clinical leader in a number of companies, including Pfizer, Generon (Shanghai) Corporation Ltd. and Hutchison MediPharma Ltd. Our head of research and development, Dr. Archie Tse, previously served as the Chief Scientific Officer, Senior Vice President, Head of Research and Early Clinical Development, and Head of CMC Department of CStone Pharmaceuticals. Before that, Dr. Tse held leadership positions in multinational companies, including MSD and Daiichi-Sankyo.</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our inception, we have received strong support from our shareholders, including financial investors as well as several industry-leading strategic investors. This investor base is, and we expect will continue to be, aligned with our vision and strategy going forward.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differentiated oncology portfolio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AN8025: A Potential First-in-Class, Multi-Functional T Cell/APC Modulator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AN8025 emerges as a tri-specific antibody fusion protein derived from a clinically validated and approved αPD-L1 antibody, fused with functionally optimized CD86 variant (CD86v) and LAG3 variant (LAG3v) on its C- and N-terminus of heavy chain, respectively. AN8025 leverages the LAG3 component to stimulate the differentiation and maturation of antigen-presenting cells (APCs), while the CD86 and αPD-L1 components synergistically amplify tumor-specific T cell responses. Together, these actions orchestrate a multifaceted enhancement of immune function. The clinical phase I study of AN8025 is currently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vitro, we demonstrated that AN8025 improved the quantity and quality of APCs, compared to an aPD-L1 mAb.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demonstrated that AN8025 induced stronger T Cell response than an aPD-L1 mAb and displays PD-L1-dependent T-cell activation. Additionally, this elevated T cell activation is not observed in human primary T cells, where PD-L1 levels are relatively low, unlike the unconditional activation of T cells by the CD28 super-agonist.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43" w:right="459" w:bottom="11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7341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27875" cy="7341870"/>
                    </a:xfrm>
                    <a:prstGeom prst="rect">
                      <a:avLst/>
                    </a:prstGeom>
                    <a:noFill/>
                  </pic:spPr>
                </pic:pic>
              </a:graphicData>
            </a:graphic>
          </wp:anchor>
        </w:drawing>
        <w:t>In addition, we demonstrated that AN8025 displayed potent antitumor efficacy in syngeneic and humanized mouse tumor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AN9025: An Oral Small-Molecule Pan-RAS(ON) Inhibitor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AN9025 is an oral small molecule pan-RAS(ON) inhibitor designed to address a broad range of RAS mutations across multiple tumor types. The clinical phase I study of AN9025 is currently ongoing.</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AN9025 demonstrates superior potency compared to a clinical benchmark pan-RAS(ON) inhibitor sharing the same mechanism of action, driving potent and broad-spectrum anti-tumor activity in both in vitro and in vivo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47"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8387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27875" cy="8387715"/>
                    </a:xfrm>
                    <a:prstGeom prst="rect">
                      <a:avLst/>
                    </a:prstGeom>
                    <a:noFill/>
                  </pic:spPr>
                </pic:pic>
              </a:graphicData>
            </a:graphic>
          </wp:anchor>
        </w:drawing>
        <w:t>AN4035: A Novel CEACAM5 Pan-RAS(ON)i ADC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AN4035 is a proprietary CEACAM5-targeting antibody drug conjugate (ADC) designed to deliver potent anti-tumor activity with an improved therapeutic window. We expect to submit IND in the middle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AN4035 targets CEACAM5, an antigen highly overexpressed in lung, pancreatic, and colorectal cancers—tumor types that frequently harbor RAS mutations. AN4035 has a homogeneous DAR 8 and shows excellent DAR stability over human plasma.</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AN4035 demonstrates potent, nanomolar to picomolar cytotoxicity across a broad panel of RAS-addicted, CEACAM5-positive cancer cell lines. In addition, AN4035 also exhibits a robust bystander effect in multiple RAS-addicted, CEACAM5-positive cancer cell lines.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AN4035 demonstrated robust anti-tumor activity in multiple CDX and PDX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43"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5241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27875" cy="5241925"/>
                    </a:xfrm>
                    <a:prstGeom prst="rect">
                      <a:avLst/>
                    </a:prstGeom>
                    <a:noFill/>
                  </pic:spPr>
                </pic:pic>
              </a:graphicData>
            </a:graphic>
          </wp:anchor>
        </w:drawing>
        <w:t>Other Pipelines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AN4005: Orally Available, Small-Molecule PD-L1 Inhibitor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AN4005, a drug candidate discovered in-house, is an oral small-molecule PD-L1 inhibitor designed to disrupt the interaction between PD-1 and PD-L1.</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AN4005X0101 (NCT04999384) is a Phase I, multi-center, open-label clinical trial study in patients with advanced solid tumors. A traditional ‘3+3’ design was employed for dose escalation, with sentinel patients enrolled at the starting dose of 50 mg BID. As of 14 October 2024, 25 patients with advanced solid tumors in the U.S. and China received AN4005 across six tested dose levels (50 mg BID to 1000 mg QD).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AN4005 was well-tolerated with 20 (80%) patients experienced at least one AN4005-related AE, two (8%) patients experienced Grade 3 AN4005-related AE. No Grade 4 or 5 AN4005-related AEs were observed. 8 (32%) patients experienced 15 serious adverse events (SAEs); 1 (4%) patient experienced 1 SAE assessed by investigator as related to AN4005. Immune-related AEs were reported in two patients (8.3%) and manageable. No patients experienced AEs leading to dose reduction of AN4005. 9 (36%) patients experienced at least 1 AE leading to dose interruption of AN4005. 4 (16%) patients had AE that led to discontinuation of AN4005. No dose-limiting toxicities were observed and the MTD was not reached.</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Overall disease control rate was 41.7% (10/24). One patient with high microsatellite instability (MSI-H) colorectal cancer treated at 300 mg QD had a confirmed complete response. Notably, this patient had responded to two prior anti-PD-(L)1 mAbs but was unable to continue intravenous therapy due to the COVID-19 pandemic, highlighting the value of an oral PD-L1 inhibitor. Following the completion of the Dose-Escalation Phase and a preliminary food-effect cohort, the trial has now advanced to the Expansion Phase, evaluating two doses of AN4005 in checkpoint inhibitor-naïve patients. Proof-of-concept data from the Expansion Phase is expected to be presented in a conference in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AN0025: a tumor microenvironment modulator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AN0025, in-licensed from Eisai, is a small molecule EP4 antagonist designed to modulate the tumor microenvironment. It is designed to block the prostaglandin E2 (“PGE2”)-EP4 signaling pathway to inhibit PGE2-mediated immunosuppression in cancer patients. The development strategy for AN0025 has been adjusted to focus on its use as a chemoradiation modulator. Our approach relies on investigator-initiated studies to generate proof-of-concept (“PoC”) data in a cost-effective manner, with an emphasis on locally advanced rectal cancer and esophageal cancer. This strategic shift aims to optimize resource allocation while advancing clinical validation in key tumor types.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ARTEMIS is a randomized phase II trial for patients with moderate to high-risk rectal cancer where pre-operative chemo-RT is a standard treatment option and suitable for organ preservation. Patients are randomized 1:1 between 1) standard of care long-course chemo-RT (LCCRT) or short-course chemo-RT (SCCRT) based on clinician choice, and 2) standard of care LCCRT or SCCRT based on clinician choice, with the addition of immunotherapy agent AN0025. Both arms will also receive total neoadjuvant treatment (TNT) in the form of FOLFOX or CAPOX, based on clinician choice. The primary endpoint is Clinical Complete Response rate at 6 months post start of radiotherapy. A total of 140 patients will be randomized. The futility analysis result of this phase II clinical study is expected by the first quarter of 2026.</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43"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62020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27875" cy="6202045"/>
                    </a:xfrm>
                    <a:prstGeom prst="rect">
                      <a:avLst/>
                    </a:prstGeom>
                    <a:noFill/>
                  </pic:spPr>
                </pic:pic>
              </a:graphicData>
            </a:graphic>
          </wp:anchor>
        </w:drawing>
        <w:t>Implications of Being an Emerging Growth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qualify as an “emerging growth company” pursuant to the Jumpstart Our Business Startups Act of 2012,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(a) the last day of the fiscal year during which we have total annual gross revenues of at least US$1.235 billion; (b) the last day of our fiscal year following the fifth anniversary of the completion of the initial public offering pursuant to an effective registration statement under the Securities Act; (c) the date on which we have, during the preceding three-year period, issued more than US$1.0 billion in non-convertible debt; or (d) the date on which we are deemed to be a “large accelerated filer” under the Securities Exchange Act of 1934, as amended, or the Exchange Act, which would occur if the market value of our Shares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 Status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Exchange Act. As such, we are exempt from certain provisions applicable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domestic public companies. For example:</w:t>
      </w:r>
    </w:p>
    <w:p>
      <w:pPr>
        <w:spacing w:after="0" w:line="207" w:lineRule="exact"/>
        <w:rPr>
          <w:sz w:val="20"/>
          <w:szCs w:val="20"/>
          <w:color w:val="auto"/>
        </w:rPr>
      </w:pPr>
    </w:p>
    <w:p>
      <w:pPr>
        <w:ind w:left="640" w:hanging="324"/>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required to provide as many Exchange Act reports, or as frequently, as a domestic public company;</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interim reporting, we are permitted to comply solely with our home country requirements, which are less rigorous than the rules that apply to domestic public companies;</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required to provide the same level of disclosure on certain issues, such as executive compensation;</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exempt from provisions of Regulation FD aimed at preventing issuers from making selective disclosures of material information;</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required to comply with the sections of the Exchange Act regulating the solicitation of proxies, consents, or authorizations in respect of a security registered under the Exchange Act; and</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required to comply with Section 16 of the Exchange Act requiring insiders to file public reports of their share ownership and trading activities and establishing insider liability for profits realized from any “short-swing” trading transaction.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43" w:right="459" w:bottom="1440" w:gutter="0" w:footer="0" w:header="0"/>
        </w:sectPr>
      </w:pPr>
    </w:p>
    <w:bookmarkStart w:id="14" w:name="page15"/>
    <w:bookmarkEnd w:id="14"/>
    <w:p>
      <w:pPr>
        <w:jc w:val="both"/>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53790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27875" cy="5379085"/>
                    </a:xfrm>
                    <a:prstGeom prst="rect">
                      <a:avLst/>
                    </a:prstGeom>
                    <a:noFill/>
                  </pic:spPr>
                </pic:pic>
              </a:graphicData>
            </a:graphic>
          </wp:anchor>
        </w:drawing>
        <w:t>The Nasdaq listing rules provide that a foreign private issuer may follow the practices of its home country, which for us is the Cayman Islands, rather than the Nasdaq rules as to certain corporate governance requirements, including the requirement that the issuer have a majority of independent directors, the audit committee, compensation committee, and nominating and corporate governance committee requirements, the requirement to disclose third-party director and nominee compensation, and the requirement to distribute annual and interim reports. A foreign private issuer that follows a home country practice in lieu of one or more of the listing rules is required to disclose in its annual reports filed with the SEC each requirement that it does not follow and describe the home country practice followed by the issuer in lieu of such requirements. Although we do not currently intend to take advantage of these exceptions to the Nasdaq corporate governance rules, we may in the future take advantage of one or more of these exemptions.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commenced our business in mainland China in 2004 through Adlai Nortye Biopharma Co., Ltd., which we refer to as our operating subsidiary in the PRC. We initially focused primarily on generic pharmaceuticals and polypeptide intermediate, until 2016 when our founders, Mr. Yang Lu and Mr. Donghui Yang, led our strategic transition to become a R&amp;D-driven pharmaceutical company, focusing on the discovery and development of innovative cancer therapies.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ultimate holding company was incorporated in the Cayman Islands in May 2018 to facilitate offshore financing activities, and our daily operations are conducted primarily through our operating subsidiaries in the United States and mainland China. Between January 2018 and June 2022, Alpine Bioscience Ltd, Adlai Nortye Pte. Ltd., Adlai Nortye (HK) Limited, and Adlai Nortye (Switzerland) AG were incorporated in the British Virgin Islands, Singapore, Hong Kong, and Switzerland as our intermediary holding entities. In March 2019, Adlai Nortye (HK) Limited acquired entire equity interests in Adlai Nortye Biopharma Co., Ltd. from its then shareholders and Adlai Nortye Biopharma Co., Ltd. became a wholly owned subsidiary of our ultimate holding company.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conduct clinical trials in the U.S., Adlai Nortye USA INC was incorporated under the laws of the State of Delaware in the U.S. in January 2018. In June 2022, as a part of a reorganization, Adlai Nortye (Switzerland) AG acquired all its shares and Adlai Nortye USA INC become a wholly owned subsidiary of our ultimate holding company.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address of our registered office in Cayman Islands and our principal executive office is at c/o PO Box 309, Ugland House, Grand Cayman KY1-1104, Cayman Islands. Our telephone number is +1 848-230-7430. The United States and China are two important markets and locations for our operations. In addition to our principal executive office in the Cayman Islands, we also have two regional headquarters at (i) New Jersey Biotechnology Development Center, 685 US Hwy 1, 2nd floor, North Brunswick Township, NJ 08902, the United States and (ii) Building 6 &amp; 8, 1008 Xiangwang Street, Yuhang District, Hangzhou, Zhejiang, the People’s Republic of China. Service of process in the United States can be delivered to us at Adlai Nortye USA Inc. 685 US Highway 1, North Brunswick Township, NJ 08902, telephone: +1 848 230 7430.</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September 2023, we became a publicly traded company on the Nasdaq under the symbol “ANL.” Our reports filed with or furnished to the SEC are available on our website at </w:t>
      </w:r>
      <w:r>
        <w:rPr>
          <w:rFonts w:ascii="Times New Roman" w:cs="Times New Roman" w:eastAsia="Times New Roman" w:hAnsi="Times New Roman"/>
          <w:sz w:val="18"/>
          <w:szCs w:val="18"/>
          <w:i w:val="1"/>
          <w:iCs w:val="1"/>
          <w:color w:val="auto"/>
        </w:rPr>
        <w:t>https://www.adlainortye.com</w:t>
      </w:r>
      <w:r>
        <w:rPr>
          <w:rFonts w:ascii="Times New Roman" w:cs="Times New Roman" w:eastAsia="Times New Roman" w:hAnsi="Times New Roman"/>
          <w:sz w:val="18"/>
          <w:szCs w:val="18"/>
          <w:color w:val="auto"/>
        </w:rPr>
        <w:t xml:space="preserve"> as soon as reasonably practicable after we electronically file such material with, or furnish it to, the SEC. The information contained on our websites is not a part of this annual report. The SEC maintains a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that contains reports and other information regarding us and other companies that file materials with the SEC electronically.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47" w:right="4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4"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An investment in our securities involves a high degree of risk. You should carefully consider the risks described under “Risk Factors” in the applicable </w:t>
      </w:r>
      <w:hyperlink r:id="rId37">
        <w:r>
          <w:rPr>
            <w:rFonts w:ascii="Times New Roman" w:cs="Times New Roman" w:eastAsia="Times New Roman" w:hAnsi="Times New Roman"/>
            <w:sz w:val="18"/>
            <w:szCs w:val="18"/>
            <w:color w:val="auto"/>
          </w:rPr>
          <w:t xml:space="preserve">prospectus supplement and under the heading “Item 3. Key Information—3.D. Risk Factors” in </w:t>
        </w:r>
        <w:r>
          <w:rPr>
            <w:rFonts w:ascii="Times New Roman" w:cs="Times New Roman" w:eastAsia="Times New Roman" w:hAnsi="Times New Roman"/>
            <w:sz w:val="18"/>
            <w:szCs w:val="18"/>
            <w:u w:val="single" w:color="auto"/>
            <w:color w:val="0000EE"/>
          </w:rPr>
          <w:t>our annual report on Form 20-F for the fiscal year ended</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December 31, 2024</w:t>
        </w:r>
        <w:r>
          <w:rPr>
            <w:rFonts w:ascii="Times New Roman" w:cs="Times New Roman" w:eastAsia="Times New Roman" w:hAnsi="Times New Roman"/>
            <w:sz w:val="18"/>
            <w:szCs w:val="18"/>
            <w:color w:val="000000"/>
          </w:rPr>
          <w:t>, or any updates in our reports on Form 6-K, together with all of the other information appearing in, or incorporated by reference into,</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under the Exchange Act that are incorporated herein by reference into, this prospectus and any applicable prospectus supplement, in light of your particular investment objectives and financial circumstances. In addition to those risk factors, there may be additional risks and uncertainties of which management is not aware or focused on or that management deems immaterial. Our business, financial condition, or results of operations could be materially adversely affected by any of these risks. The trading price of our securities could decline due to any of these risks, and you may lose all or part of your investment. See the sections of this prospectus entitled “Where You Can Find More Information” and “Incorporation of Certain Information by Reference.”</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sale of a substantial amount of our ADSs by the selling shareholders in the public market could adversely affect the prevailing market price of our Class A Ordinary Shares.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registering for resale by selling shareholders of up to 64,615,386 Class A Ordinary Shares (represented by 21,538,462 American Depositary Shares). Sales of substantial amounts of our ADSs in the public market, or the perception that such sales might occur, could adversely affect the market price of our ADSs. We cannot predict if and when the selling shareholders may sell such ADSs in the public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sale or availability for sale of substantial amounts of our ADSs could adversely affect their market price.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of substantial amounts of our ADSs in the public market after the completion of this offering, or the perception that these sales could occur, could adversely affect the market price of our ADSs and could materially impair our ability to raise capital through equity offerings in the future. The ADSs sold in this offering will be freely tradable without restriction or further registration under the Securities Act, and shares held by our existing shareholders may also be sold in the public market in the future subject to the restrictions in Rule 144 and Rule 701 under the Securities Act and the applicable lock-up agreements, if any. We cannot predict what effect, if any, market sales of securities held by our significant shareholders or any other shareholder or the availability of these securities for future sale will have on the market price of our ADSs. See “Plan of Distribution” for a more detailed description of the restrictions on selling our securities after this offering.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OFFER STATISTICS AND EXPECTED TIMETABLE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from time to time, in one or more offerings, offer and sell up to US$600,000,000 of Class A ordinary shares, par value US$0.0001 per share (“ordinary shares”), including Ordinary Shares represented by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in this prospectus (as may be detailed in a prospectus supplement). The selling shareholders may sell from time to time in one or more offerings, offer and sell up to 64,615,386 Class A Ordinary Shares (represented by 21,538,462 American Depositary Shares). The Ordinary Shares may be represented by American Depositary Shares (“ADSs”), each representing 3 Ordinary Shares. The securities offered under this prospectus may be offered separately, together, or in separate series, and in amounts, at prices, and on terms to be determined at the time of sale. See “Plan of Distribution.” We will keep the registration statement of which this prospectus is a part effective until such time as all of the securities covered by this prospectus have been disposed of pursuant to and in accordance with such registration statement.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 AND INDEBTEDNESS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capitalization will be set forth in the applicable prospectus supplement or in a report on Form 6-K subsequently furnished to the SEC and specifically incorporated by reference into this 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If required, we will set forth in a prospectus supplement the following information regarding any material dilution of the equity interests of investors purchasing securities in an offering under this prospectus:</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tangible book value per share of our equity securities before and after the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increase in such net tangible book value per share attributable to the cash payments made by purchasers in the offering;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immediate dilution from the public offering price which will be absorbed by such purchasers.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of the securities offered hereby. Unless otherwise specified in any prospectus supplement, we currently intend to use the net proceeds from the sale of our securities offered under this prospectus for general corporate purposes, which may include capital expenditures, working capital, and other business opportunities.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the sale of any securities by the selling shareholders. The selling shareholders will receive all of the net proceeds from the sale of any securities offered by them under this prospectus. The selling shareholders will bear any underwriting discounts and commission and expenses incurred by them for brokerage, accounting, tax, legal services or any other expenses incurred by the selling shareholders in disposing of these securities. We will bear all other costs, fees and expenses incurred in effecting the registration of the securities covered by this prospectus.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American depositary shares (“ADSs”), each of which represents three Class A ordinary shares of Adlai Nortye Ltd. (“we,” “us,” “our company,” or “our”), are listed and traded on the Nasdaq Stock Market and the Class A ordinary shares are registered under Section 12(b) of the Exchange Act. This exhibit contains a description of the rights of (1) the holders of Class A ordinary shares and (2) the holders of ADSs. Class A ordinary shares underlying the ADSs are held by The Bank of New York Mellon, as depositary, and holders of ADSs will not be treated as holders of Class A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Seventh Amended and Restated Memorandum and Articles of Association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Seventh Amended and Restated Memorandum and Articles of Association and the Companies Act insofar as they relate to the material terms of our ordinary shares and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Class A Ordinary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is a summary of material provisions of our currently effective seventh amended and restated memorandum and articles of association (the “Articles”) as well as the Companies Act (As Revised) of the Cayman Islands (the “Companies Act”) insofar as they relate to the material terms of our Class A ordinary shares. As it is a summary, it may not contain all the information that you may otherwise deem important. For more complete information, you should read the entire Articles, which has been filed with the Securities and Exchange Commission (the “SEC”) as an exhibit to our registration statement on Form 20-F (File No. 001-41773), as amended, initially filed with the SEC on April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 and Class of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ordinary shares are divided into Class A ordinary shares and Class B ordinary shares. Holders of Class A ordinary shares and holders of Class B ordinary shares have the same rights except for voting and conversion rights. The par value of Class A ordinary shares is US$0.0001 per share. Our Class A ordinary shares are issued in registered form and are issued when registered in our register of members. We will not issue shares to bearer. Our shareholders who are not Cayman Islands residents may freely hold and vote their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or Qualifications.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adopted a dual-class voting structure such that our ordinary shares consist of Class A ordinary shares and Class B ordinary shares. Holders of our Class A ordinary shares and our Class B ordinary shares shall, at all times, vote together as one class on all matters submitted to a vote by our shareholders at any general meeting of our company. Each Class A ordinary share shall be entitled to one vote, and each Class B ordinary share shall be entitled to fifteen votes, on all matters subject to a vote at general meetings of our company. Due to the additional votes attached to the Class B ordinary shares, the voting power of the Class A ordinary shares may be materially limited. Each Class B ordinary share is convertible into one Class A ordinary share at any time at the option of the holder thereof. Class A ordinary shares are not convertible into Class B ordinary shares under any circumstances. Upon any sale, transfer, assignment or disposition of any Class B ordinary shares by a holder to any person who is not the founder or an affiliate of the founder, or upon a change of ultimate beneficial ownership of any Class B ordinary share to any person who is not the founder or an affiliate of the founder, such Class B ordinary shares shall be automatically and immediately converted into the same number of Class A ordinary shares.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Class A Ordinary Shares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ordinary shares are divided into Class A ordinary shares and Class B ordinary shares. Holders of our Class A ordinary shares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B ordinary shares will have the same rights except for voting and conversion rights. Each Class A ordinary share shall entitle the holder thereof to one vote on all matters subject to vote at our general meetings, and each Class B ordinary share shall entitle the holder thereof to fifteen votes on all matters subject to vote at our general meetings. Our ordinary shares are issued in registered form and are issued when registered in our register of members.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Class B ordinary share is convertible into one Class A ordinary share at any time at the option of the holder thereof. Class A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are not convertible into Class B ordinary shares under any circumstances. Any number of Class B ordinary shares held by a holder thereof will be automatically and immediately converted into an equal number of Class A ordinary shares upon the occurrence of (1) any sale, transfer, assignment or disposition of any Class B ordinary shares by the holder thereof to any person that is not the founder or an affiliate of the founder, or (2) upon a change of ultimate beneficial ownership of any Class B ordinary share to any person that is not the founder or an affiliate of the founder.</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holders of our ordinary shares are entitled to such dividends as may be declared by our board of directors or declared by our shareholders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ordinary resolution (provided that no dividend may be declared by our shareholders which exceeds the amount recommended by our directors). Our Articles provide that dividends may be declared and paid out of our lawfully available funds. Under the laws of the Cayman Islands, our company may pay a dividend out of either profits or share premium account, provided that in no circumstances may a dividend be paid if this would result in our company being unable to pay its debts as they fall due in the ordinary course of business.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Voting at any meeting of shareholders is by a poll save that the chairman of the meeting may, in good faith, allow a resolution which relates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purely to a procedural or administrative matter to be voted on by a show of hands. With respect to all matters subject to a shareholders’ vote, on a show of hands every shareholder present at the meeting shall each have one vote, and on a poll, every shareholder present at the meeting shall have one vote for each Class A ordinary share, and fifteen votes for each Class B ordinary share, voting together as one class on all matters submitted to a vote by our shareholders at any general meeting.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and issued ordinary shares cast at a meeting. A special resolution will be required for important matters such as making changes to our Articles.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meetings of shareholders. </w:t>
      </w:r>
      <w:r>
        <w:rPr>
          <w:rFonts w:ascii="Times New Roman" w:cs="Times New Roman" w:eastAsia="Times New Roman" w:hAnsi="Times New Roman"/>
          <w:sz w:val="18"/>
          <w:szCs w:val="18"/>
          <w:color w:val="auto"/>
        </w:rPr>
        <w:t>As a Cayman Islands exempted company, we are not obliged by the Companies Act to call shareholders’ annual general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meetings. Our Articles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80"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Shareholders’ general meetings may be convened by the chairperson of our board of directors or a majority of our board of directors (acting by a resolution of our board of directors). Advance notice of at least seven calendar days is required for the convening of our annual general shareholders’ meeting (if any) and any other general meeting of our shareholders. A quorum required for any general meeting of shareholders consists of one or more shareholder present in person or by proxy, holding shares which carry in aggregate not less than one-third of all votes attaching to our issued and outstanding shares entitled to attend and vote at the general meeting.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spacing w:after="0" w:line="256"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Articles provide that upon the requisition of any one or more of our shareholders who together hold shares which carry in aggregate not less than 10% of all votes attaching to the issued and outstanding shares of our company entitled to attend and vote at general meetings, our board will convene an extraordinary general meeting and put the resolutions so requisitioned to a vote at such meeting. However, our Articles do not provide our shareholders with any right to put any proposals before annual general meetings or extraordinary general meetings not called by such shareholders.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of ordinary shares. </w:t>
      </w:r>
      <w:r>
        <w:rPr>
          <w:rFonts w:ascii="Times New Roman" w:cs="Times New Roman" w:eastAsia="Times New Roman" w:hAnsi="Times New Roman"/>
          <w:sz w:val="18"/>
          <w:szCs w:val="18"/>
          <w:color w:val="auto"/>
        </w:rPr>
        <w:t>Subject to the restrictions set out in our Articles as set out below, any of our shareholders may transfer all or any of her or 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shares by an instrument of transfer in the usual or common form or any other form approved by our board of directors.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62" w:lineRule="exact"/>
        <w:rPr>
          <w:sz w:val="20"/>
          <w:szCs w:val="20"/>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Stock Market may determine to be payable or such lesser sum as our directors may from time to time require is paid to us in respect thereof.</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one calendar month after the date on which the instrument of transfer was lodged, send to each of the transferor and the transferee notice of such refusal.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the Nasdaq Stock Market,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 as our board may determine.</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On the winding up of our company, if the assets available for distribution amongst our shareholders shall be more than sufficient to repay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Calls on Shares and Forfeiture of Shares. </w:t>
      </w:r>
      <w:r>
        <w:rPr>
          <w:rFonts w:ascii="Times New Roman" w:cs="Times New Roman" w:eastAsia="Times New Roman" w:hAnsi="Times New Roman"/>
          <w:sz w:val="18"/>
          <w:szCs w:val="18"/>
          <w:color w:val="auto"/>
        </w:rPr>
        <w:t>Our board of directors may from time to time make calls upon shareholders for any amounts unpaid on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in a notice served to such shareholders at least 14 days prior to the specified time and place of payment. The shares that have been called upon and remain unpaid are subject to forfeiture.</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Repurchase and Surrender of Shares. </w:t>
      </w:r>
      <w:r>
        <w:rPr>
          <w:rFonts w:ascii="Times New Roman" w:cs="Times New Roman" w:eastAsia="Times New Roman" w:hAnsi="Times New Roman"/>
          <w:sz w:val="18"/>
          <w:szCs w:val="18"/>
          <w:color w:val="auto"/>
        </w:rPr>
        <w:t>We may issue shares on terms that such shares are subject to redemption, at our option or at the option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holders of these shares, on such terms and in such manner as may be determined by a special resolution of our shareholders.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will have no general right under Cayman Islands law to inspect or obtain copies of our list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shareholders or our corporate records (save for our register of mortgages and charges, our memorandum and articles of association and special resolutions of our shareholders). However, we will provide our shareholders with annual audited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to Change the Rights of Holders of Class A Ordinary Shares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Variations of rights of shares. </w:t>
      </w:r>
      <w:r>
        <w:rPr>
          <w:rFonts w:ascii="Times New Roman" w:cs="Times New Roman" w:eastAsia="Times New Roman" w:hAnsi="Times New Roman"/>
          <w:sz w:val="18"/>
          <w:szCs w:val="18"/>
          <w:color w:val="auto"/>
        </w:rPr>
        <w:t>If at any time, our share capital is divided into different classes of shares, the rights attached to any class may be materially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adversely varied with the consent in writing of the holders of two-thirds of the issued shares of that class or with the sanction of a special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materially adversely varied by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such existing class of shares or the redemption or purchase of any shares of any class by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Affecting Any Change of Control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Some provisions of our Articles may discourage, delay or prevent a change of control of our company or management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may consider favorable, including provisions that:</w:t>
      </w:r>
    </w:p>
    <w:p>
      <w:pPr>
        <w:spacing w:after="0" w:line="159"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Articles for a proper purpose and for what they believe in good faith to be in the best interests of our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Between the Law of Different Jurisdictions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mergers and consolidations between Cayman Islands companies and between Cayman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shareholders or class of shareholders, as the case may be, or (b) a majority in number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8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dissentient minority shareholders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 as a company, and as a general rule a derivative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18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Cayman Islands law does not limit the extent to which a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Articles provide that we shall indemnify our directors and officers,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Articles.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 fiduciary duty to the corporation and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 an objective standard with regard to the required skill and care and these authorities are likely to be followed in the Cayman Islands.</w:t>
      </w:r>
    </w:p>
    <w:p>
      <w:pPr>
        <w:spacing w:after="0" w:line="18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 may eliminate the right of shareholders to act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written consent by amendment to its certificate of incorporation. Cayman Islands law and our Articles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Shareholder proposals</w:t>
      </w:r>
      <w:r>
        <w:rPr>
          <w:rFonts w:ascii="Times New Roman" w:cs="Times New Roman" w:eastAsia="Times New Roman" w:hAnsi="Times New Roman"/>
          <w:sz w:val="18"/>
          <w:szCs w:val="18"/>
          <w:color w:val="auto"/>
        </w:rPr>
        <w:t>. Under the Delaware General Corporation Law, a shareholder has the right to put any proposal before the annual meeting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Articles allow any one or more of our shareholders holding shares which carry in aggregate not less than 10% of the total number votes attaching to all issued and outstanding shares of our company as of the date of the deposit that are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Articles do not provide our shareholders with any other right to put proposals before annual general meetings or extraordinary general meetings. As a Cayman Islands exempted company, we are not obliged by law to call shareholders’ annual general meetings.</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Articles do not provide for cumulative voting. As a result, our shareholders are not afforded any less protections or rights on this issue than shareholders of a Delaware corporation.</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 classified board may be removed only for cause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approval of a majority of the issued and outstanding shares entitled to vote, unless the certificate of incorporation provides otherwise. Under our Articles, directors may be removed by an ordinary resolution of our shareholders or by the Board. 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In addition, a director will also cease to be a director if he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 combination statute applicable to Delaware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not with the effect of constituting a fraud on the minority shareholders.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Restructuring. </w:t>
      </w:r>
      <w:r>
        <w:rPr>
          <w:rFonts w:ascii="Times New Roman" w:cs="Times New Roman" w:eastAsia="Times New Roman" w:hAnsi="Times New Roman"/>
          <w:sz w:val="18"/>
          <w:szCs w:val="18"/>
          <w:color w:val="auto"/>
        </w:rPr>
        <w:t>A company may present a petition to the Grand Court of the Cayman Islands for the appointment of a restructuring officer on the grounds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the company:</w:t>
      </w:r>
    </w:p>
    <w:p>
      <w:pPr>
        <w:spacing w:after="0" w:line="15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likely to become unable to pay its debts;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present a compromise or arrangement to its creditors (or classes thereof) either pursuant to the Companies Act, the law of a foreign country or by way of a consensual restructuring.</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 dissolve, dissolution must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 rights of a class of shares with the approval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of the outstanding shares of such class, unless the certificate of incorporation provides otherwise. Under our Articles, if our share capital is divided into more than one class of shares, the rights attached to any such class may only be materially adversely varied with the consent in writing of the holders of two-thirds of the issued shares of that class or with the sanction of a special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materially adversely varied by the creation, allotment or issue of further shares ranking pari passu with or subsequent to them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 governing documents may be amended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of a majority of the outstanding shares entitled to vote, unless the certificate of incorporation provides otherwise. Under the Companies Act and our Articles, our memorandum and articles of association may only be amended by a special resolution of our shareholders.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Articles on the rights of non-resident or foreign shareholders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 or exercise voting rights on our shares. In addition, there are no provisions in our Articles that require our company to disclose shareholder ownership above any particular ownership threshold.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from time to time by ordinary resolution in accordance with the Companies Act:</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capital by such sum, to be divided into shares of such amounts, as the resolution shall prescribe;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larger amounts than our existing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its share capital by the amount of the shares so cancelled subject to the provisions of the Companies Act;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shares or any of them into shares of smaller amount than is fixed by our Articles, subject nevertheless to the Companies Act;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shares into several classes and without prejudice to any special rights previously conferred on the holders of existing shares, attach to the shares respectively any preferential, deferred, qualified or special rights, privileges, conditions or such restrictions that in the absence of any such determination in a general meeting may be determined by our directors.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may, by special resolution, subject to any confirmation or consent required by the Companies Act, reduce our share capital or any capital redemption reserve in any manner authorized by law.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ORDINARY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our ordinary shares either alone or underlying other securities convertible into or exercisable or exchangeable for our ordinary shares.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Holders of our ordinary shares are entitled to certain rights and subject to certain conditions as set forth in our seventh amended and restated memorandum and articles of association and the Companies Act. See “Description of Share Capital.”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Bank of New York Mellon, as depositary, will register and deliver American Depositary Shares, also referred to as ADSs. Each ADS will represent three Class A ordinary shares (or a right to receive three Class A ordinary shares) deposited with The Hong Kong and Shanghai Banking Corporation Limited, as custodian for the depositary in Hong Kong.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holders of uncertificated ADSs will receive statements from the depositary confirming their holdings.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ADS holder, we will not treat you as one of our shareholders and you will not have shareholder rights. Cayman Islands law governs shareholder rights. The depositary will be the holder of the Class A ordinary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deposit agreement. For more complete information, you should read the entire deposit agreement and the form of ADR, which contains the terms of your ADSs. The deposit agreement has been filed with the SEC as an exhibit to our registration statement on Form F-1 (File No. 333- 273465), as amended, initially filed with the SEC on July 27, 2023. The form of ADR is included in the deposit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will you receive dividends and other distributions on the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Class A ordinary shares your ADSs represent.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Cash</w:t>
      </w:r>
      <w:r>
        <w:rPr>
          <w:rFonts w:ascii="Times New Roman" w:cs="Times New Roman" w:eastAsia="Times New Roman" w:hAnsi="Times New Roman"/>
          <w:sz w:val="18"/>
          <w:szCs w:val="18"/>
          <w:color w:val="auto"/>
        </w:rPr>
        <w:t>. The depositary will convert any cash dividend or other cash distribution we pay on the Class A ordinary shares into U.S. dollars, if it can do so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Before making a distribution, any withholding taxes, or other governmental charges that must be paid will be deducted. See “Taxation.” The depositary will distribute only whole U.S. dollars and cents and will round fractional cents to the nearest whole cent. If the exchange rates fluctuate during a time when the depositary cannot convert the foreign currency, you may lose some of the value of the distribution.</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The depositary may distribute additional ADSs representing any Class A ordinary shares we distribute as a dividend or free distribution.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depositary will only distribute whole ADSs. It will sell Class A ordinary shares which would require it to deliver a fraction of an ADS (or ADSs representing those shares) and distribute the net proceeds in the same way as it does with cash. If the depositary does not distribute additional ADSs, the outstanding ADSs will also represent the new Class A ordinary shares. The depositary may sell a portion of the distributed Class A ordinary shares (or ADSs representing those shares) sufficient to pay its fees and expenses in connection with that distribution.</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to purchase additional shares. </w:t>
      </w:r>
      <w:r>
        <w:rPr>
          <w:rFonts w:ascii="Times New Roman" w:cs="Times New Roman" w:eastAsia="Times New Roman" w:hAnsi="Times New Roman"/>
          <w:sz w:val="18"/>
          <w:szCs w:val="18"/>
          <w:color w:val="auto"/>
        </w:rPr>
        <w:t>If we offer holders of our Class A ordinary shares any rights to subscribe for additional shares or any other rights,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Class A ordinary shares, new ADSs representing the new Class A ordinary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Distributions. </w:t>
      </w:r>
      <w:r>
        <w:rPr>
          <w:rFonts w:ascii="Times New Roman" w:cs="Times New Roman" w:eastAsia="Times New Roman" w:hAnsi="Times New Roman"/>
          <w:sz w:val="18"/>
          <w:szCs w:val="18"/>
          <w:color w:val="auto"/>
        </w:rPr>
        <w:t>The depositary will send to ADS holders anything else we distribute on deposited securities by any means it thinks is legal, fair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it is illegal or impractical for us to make them available to you.</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Deposit, Withdrawal and Cancellation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are ADSs issued?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depositary will deliver ADSs if you or your broker deposits Class A ordinary shares or evidence of rights to receive Class A ordinary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can ADS holders withdraw the deposited securities?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may surrender your ADSs to the depositary for the purpose of withdrawal. Upon payment of its fees and expenses and of any taxes or charges, such as stamp taxes or stock transfer taxes or fees, the depositary will deliver the Class A ordinary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ADS holders interchange between certificated ADSs and uncertificated ADSs?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you vote?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memorandum and articles of association or similar documents, to vote or to have its agents vote the Class A ordinary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by instructing the depositary as described above, you will not be able to exercise voting rights unless you surrender your ADSs and withdraw the Class A ordinary shares. However, you may not know about the meeting enough in advance to withdraw the Class A ordinary shares. In any event, the depositary will not exercise any discretion in voting deposited securities and it will only vote or attempt to vote as instructed.</w:t>
      </w:r>
    </w:p>
    <w:p>
      <w:pPr>
        <w:spacing w:after="0" w:line="17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We cannot assure you that you will receive the voting materials in time to ensure that you can instruct the depositary to vote the Class A ordinary shares represented by your ADSs. In addition, the depositary and its agents are not responsible for failing to carry out voting instructions or for the manner of carrying out voting instructions. This means that you may not be able to exercise voting rights and there may be nothing you can do if the Class A ordinary shares represented by your ADSs are not voted as you requested.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give you a reasonable opportunity to instruct the depositary as to the exercise of voting rights relating to depository securities, if we request the Depositary to act, we agree to give the depositary notice of any such meeting and details concerning the matters to be voted upon at least 30 days in advance of the meeting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sell the securities offered by this prospectus from time to time in one or more transactions, including, without limitation:</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broker-dealers (acting as agent or principal);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us to purchasers (including our affiliates and shareholders), through a specific bidding or auction process, a rights offering, or other method;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methods described in a prospectus supplement.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distribution of securities may be effected, from time to time, in one or more transactions, including:</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transactions (which may involve crosses) and transactions on Nasdaq or any other organized market where the securities may be traded;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own account pursuant to a prospectus supplement;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“at the market” to or through a market maker or into an existing trading market, on an exchange or otherwise;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in other ways not involving market makers or established trading markets, including direct sales to purchasers.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securities may be sold at a fixed price or prices, which may be changed, or at market prices prevailing at the time of sale, at prices relating to the prevailing market prices or at negotiated prices. The consideration may be cash, extinguishment of debt,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and commissions under the Securities Act. If such dealers or agents were deemed to be underwriters, they may be subject to statutory liabilities under the Securities Act.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also make direct sales through subscription rights distributed to our existing shareholders on a pro rata basis, which may or may not be transferable. In any distribution of subscription rights to our shareholders,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or all of the securities that we offer through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Agents may, from time to time, solicit offers to purchase the securities. If required, we will name in the applicable prospectus supplement, document incorporated by reference, or free writing prospectus, as applicable, any agent involved in the offer or sale of the securities and set forth any compensation payable to the agent. Unless otherwise indicated, any agent will be acting on a best efforts basis for the period of its appointment. Any agent selling the securities covered by this prospectus may be deemed to be an underwriter of the securities.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underwriters are used in an offering,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This prospectus, the applicable prospectus supplement and any applicable free writing prospectus will be used by the underwriters to resell the securities.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dealer is used in the sale of the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document incorporated by reference, or free writing prospectus, as applicable, the name of the dealer and the terms of the transactions.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directly solicit offers to purchase the securities and may make sales of securities directly to institutional investors or others. These persons may be deemed to be underwriters with respect to any resale of the securities. To the extent required, the prospectus supplement, document incorporated by reference, or free writing prospectus, as applicable, will describe the terms of any such sales, including the terms of any bidding or auction process, if used.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Agents, underwriters, and dealers may be entitled under agreements which may be entered into with us to indemnification by us against specified liabilities, including liabilities incurred under the Securities Act, or to contribution by us to payments they may be required to make in respect of such liabilities. If required, the prospectus supplement, document incorporated by reference, or free writing prospectus, as applicable, will describe the terms and conditions of such indemnification or contribution. Some of the agents, underwriters, or dealers, or their affiliates may be customers of, engage in transactions with or perform services for us or our subsidiaries or affiliates in the ordinary course of business.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securities laws of some states, the securities offered by this prospectus may be sold in those states only through registered or licensed brokers or dealers.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person participating in the distribution of securities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securities by any such person. Furthermore, Regulation M may restrict the ability of any person engaged in the distribution of our securities to engage in market-making activities with respect to our securities.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restrictions may affect the marketability of our securities and the ability of any person or entity to engage in market-making activities with respect to our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 and February 2, 2026, the Company entered into securities purchase agreements with the selling shareholders named below for a private investment in public equity financing. In the private placement, the Company agrees to sell to the selling shareholders an aggregate of 64,615,386 Class A Ordinary Shares (represented by 21,538,462 American Depositary Shares, each representing 3 Class A ordinary shares), at a price of $2.1667 per Class A ordinary shares (equivalent of $6.50 per ADS) in one or more closings.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private placement was co-led by Cormorant Asset Management and Columbia Threadneedle Investments with participation from both new and existing investors including Balyasny Asset Management L.P., Point72, Squadron Capital Management and Casdin Capital.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covers the public resale of our securities owned by the selling shareholders named below. Such selling shareholders may from time to time offer and sell pursuant to this prospectus any or all of the ordinary shares and/or warrants owned by them. The selling shareholders, however, make no representations that the ordinary shares or warrants will be offered for sale. The table below presents information regarding the selling shareholders and the ordinary shares and/or warrants that each may offer and sell from time to time under this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each selling shareholder;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securities beneficially owned by each selling shareholder prior to the sale of the securities covered by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securities that may be offered by each selling shareholder pursuant to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securities to be beneficially owned by each selling shareholder following the sale of any securities covered by this prospectus;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each type of securities to be owned by each selling shareholder before and after the sale of the securities covered by this prospectus.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information with respect to ownership of the selling shareholders’ shares has been furnished by or on behalf of the selling shareholders and, unless otherwise indicated, is as of March 6, 2026. Based on information supplied by the selling shareholders, we believe that, except as may otherwise be indicated in the footnotes to the table below, the selling shareholders have sole voting and dispositive power with respect to the securities reported as beneficially owned by them.</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the selling shareholders may sell, transfer or otherwise dispose of all, some or none of the securities covered by this prospectus, we cannot determine the number of such securities that will be sold, transferred or otherwise disposed of by the selling shareholders, or the amount or percentage of securities that will be held by the selling shareholders upon termination of any particular offering or sale, if any. The selling shareholders make no representations, however, that they will sell, transfer or otherwise dispose any securities in any particular offering or sale. In addition, the selling shareholders may have sold, transferred or otherwise disposed of, or may sell, transfer or otherwise dispose of, at any time and from time to time, the ordinary shares they hold in transactions exempt from the registration requirements of the Securities Act after the date on which they provided the information set forth on the table below. Solely for purposes of the requirements applicable to the registration statement of which this prospectus forms a part, the following table assumes that the selling shareholders will sell all of the securities owned beneficially by them that are covered by this prospectus, but will not sell any other securities that they presently own.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00" w:type="dxa"/>
            <w:vAlign w:val="bottom"/>
          </w:tcPr>
          <w:p>
            <w:pPr>
              <w:spacing w:after="0"/>
              <w:rPr>
                <w:sz w:val="18"/>
                <w:szCs w:val="18"/>
                <w:color w:val="auto"/>
              </w:rPr>
            </w:pP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184"/>
        </w:trPr>
        <w:tc>
          <w:tcPr>
            <w:tcW w:w="240" w:type="dxa"/>
            <w:vAlign w:val="bottom"/>
          </w:tcPr>
          <w:p>
            <w:pPr>
              <w:spacing w:after="0"/>
              <w:rPr>
                <w:sz w:val="16"/>
                <w:szCs w:val="16"/>
                <w:color w:val="auto"/>
              </w:rPr>
            </w:pPr>
          </w:p>
        </w:tc>
        <w:tc>
          <w:tcPr>
            <w:tcW w:w="8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Being</w:t>
            </w: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Selling Shareholder</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Offered</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jc w:val="right"/>
              <w:ind w:right="140"/>
              <w:spacing w:after="0" w:line="270" w:lineRule="exact"/>
              <w:rPr>
                <w:sz w:val="20"/>
                <w:szCs w:val="20"/>
                <w:color w:val="auto"/>
              </w:rPr>
            </w:pPr>
            <w:r>
              <w:rPr>
                <w:rFonts w:ascii="Times New Roman" w:cs="Times New Roman" w:eastAsia="Times New Roman" w:hAnsi="Times New Roman"/>
                <w:sz w:val="18"/>
                <w:szCs w:val="18"/>
                <w:b w:val="1"/>
                <w:bCs w:val="1"/>
                <w:color w:val="auto"/>
                <w:w w:val="94"/>
              </w:rPr>
              <w:t>Ownership</w:t>
            </w:r>
            <w:r>
              <w:rPr>
                <w:rFonts w:ascii="Times New Roman" w:cs="Times New Roman" w:eastAsia="Times New Roman" w:hAnsi="Times New Roman"/>
                <w:sz w:val="29"/>
                <w:szCs w:val="29"/>
                <w:b w:val="1"/>
                <w:bCs w:val="1"/>
                <w:color w:val="auto"/>
                <w:w w:val="94"/>
                <w:vertAlign w:val="superscript"/>
              </w:rPr>
              <w:t>(1)</w:t>
            </w:r>
          </w:p>
        </w:tc>
        <w:tc>
          <w:tcPr>
            <w:tcW w:w="0" w:type="dxa"/>
            <w:vAlign w:val="bottom"/>
          </w:tcPr>
          <w:p>
            <w:pPr>
              <w:spacing w:after="0"/>
              <w:rPr>
                <w:sz w:val="1"/>
                <w:szCs w:val="1"/>
                <w:color w:val="auto"/>
              </w:rPr>
            </w:pPr>
          </w:p>
        </w:tc>
      </w:tr>
      <w:tr>
        <w:trPr>
          <w:trHeight w:val="27"/>
        </w:trPr>
        <w:tc>
          <w:tcPr>
            <w:tcW w:w="8820" w:type="dxa"/>
            <w:vAlign w:val="bottom"/>
            <w:gridSpan w:val="2"/>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8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Crum Creek Holding Limited</w:t>
            </w:r>
            <w:r>
              <w:rPr>
                <w:rFonts w:ascii="Times New Roman" w:cs="Times New Roman" w:eastAsia="Times New Roman" w:hAnsi="Times New Roman"/>
                <w:sz w:val="29"/>
                <w:szCs w:val="29"/>
                <w:color w:val="auto"/>
                <w:vertAlign w:val="superscript"/>
              </w:rPr>
              <w:t>(2)</w:t>
            </w:r>
          </w:p>
        </w:tc>
        <w:tc>
          <w:tcPr>
            <w:tcW w:w="120" w:type="dxa"/>
            <w:vAlign w:val="bottom"/>
            <w:vMerge w:val="continue"/>
            <w:shd w:val="clear" w:color="auto" w:fill="CCEEFF"/>
          </w:tcPr>
          <w:p>
            <w:pPr>
              <w:spacing w:after="0"/>
              <w:rPr>
                <w:sz w:val="22"/>
                <w:szCs w:val="2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923,076</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94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Cormorant Global Healthcare Master Fund, LP</w:t>
            </w:r>
            <w:r>
              <w:rPr>
                <w:rFonts w:ascii="Times New Roman" w:cs="Times New Roman" w:eastAsia="Times New Roman" w:hAnsi="Times New Roman"/>
                <w:sz w:val="29"/>
                <w:szCs w:val="29"/>
                <w:color w:val="auto"/>
                <w:vertAlign w:val="superscript"/>
              </w:rPr>
              <w:t>(3)</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8,538,462</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57"/>
        </w:trPr>
        <w:tc>
          <w:tcPr>
            <w:tcW w:w="894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Seligman Health Spectrum (Master) Fund</w:t>
            </w:r>
            <w:r>
              <w:rPr>
                <w:rFonts w:ascii="Times New Roman" w:cs="Times New Roman" w:eastAsia="Times New Roman" w:hAnsi="Times New Roman"/>
                <w:sz w:val="29"/>
                <w:szCs w:val="29"/>
                <w:color w:val="auto"/>
                <w:vertAlign w:val="superscript"/>
              </w:rPr>
              <w:t>(4)</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6,461,538</w:t>
            </w: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7"/>
        </w:trPr>
        <w:tc>
          <w:tcPr>
            <w:tcW w:w="894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Seligman Tech Spectrum (Master) Fund</w:t>
            </w:r>
            <w:r>
              <w:rPr>
                <w:rFonts w:ascii="Times New Roman" w:cs="Times New Roman" w:eastAsia="Times New Roman" w:hAnsi="Times New Roman"/>
                <w:sz w:val="29"/>
                <w:szCs w:val="29"/>
                <w:color w:val="auto"/>
                <w:vertAlign w:val="superscript"/>
              </w:rPr>
              <w:t>(5)</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773,928</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94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Seligman Tech Spectrum Offshore Fund</w:t>
            </w:r>
            <w:r>
              <w:rPr>
                <w:rFonts w:ascii="Times New Roman" w:cs="Times New Roman" w:eastAsia="Times New Roman" w:hAnsi="Times New Roman"/>
                <w:sz w:val="29"/>
                <w:szCs w:val="29"/>
                <w:color w:val="auto"/>
                <w:vertAlign w:val="superscript"/>
              </w:rPr>
              <w:t>(6)</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1,302,996</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94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Venrock Healthcare Capital Partners III, L.P.</w:t>
            </w:r>
            <w:r>
              <w:rPr>
                <w:rFonts w:ascii="Times New Roman" w:cs="Times New Roman" w:eastAsia="Times New Roman" w:hAnsi="Times New Roman"/>
                <w:sz w:val="29"/>
                <w:szCs w:val="29"/>
                <w:color w:val="auto"/>
                <w:vertAlign w:val="superscript"/>
              </w:rPr>
              <w:t>(7)</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1,126,386</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94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VHCP Co-Investment Holdings III, LLC</w:t>
            </w:r>
            <w:r>
              <w:rPr>
                <w:rFonts w:ascii="Times New Roman" w:cs="Times New Roman" w:eastAsia="Times New Roman" w:hAnsi="Times New Roman"/>
                <w:sz w:val="29"/>
                <w:szCs w:val="29"/>
                <w:color w:val="auto"/>
                <w:vertAlign w:val="superscript"/>
              </w:rPr>
              <w:t>(8)</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112,845</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94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Venrock Healthcare Capital Partners EG, L.P.</w:t>
            </w:r>
            <w:r>
              <w:rPr>
                <w:rFonts w:ascii="Times New Roman" w:cs="Times New Roman" w:eastAsia="Times New Roman" w:hAnsi="Times New Roman"/>
                <w:sz w:val="29"/>
                <w:szCs w:val="29"/>
                <w:color w:val="auto"/>
                <w:vertAlign w:val="superscript"/>
              </w:rPr>
              <w:t>(9)</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5,683,848</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7"/>
        </w:trPr>
        <w:tc>
          <w:tcPr>
            <w:tcW w:w="894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Atlas Private Holdings (Cayman) Ltd.</w:t>
            </w:r>
            <w:r>
              <w:rPr>
                <w:rFonts w:ascii="Times New Roman" w:cs="Times New Roman" w:eastAsia="Times New Roman" w:hAnsi="Times New Roman"/>
                <w:sz w:val="29"/>
                <w:szCs w:val="29"/>
                <w:color w:val="auto"/>
                <w:vertAlign w:val="superscript"/>
              </w:rPr>
              <w:t>(10)</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4,153,845</w:t>
            </w: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7"/>
        </w:trPr>
        <w:tc>
          <w:tcPr>
            <w:tcW w:w="894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Point72 Associates, LLC</w:t>
            </w:r>
            <w:r>
              <w:rPr>
                <w:rFonts w:ascii="Times New Roman" w:cs="Times New Roman" w:eastAsia="Times New Roman" w:hAnsi="Times New Roman"/>
                <w:sz w:val="29"/>
                <w:szCs w:val="29"/>
                <w:color w:val="auto"/>
                <w:vertAlign w:val="superscript"/>
              </w:rPr>
              <w:t>(11)</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2,307,690</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6"/>
        </w:trPr>
        <w:tc>
          <w:tcPr>
            <w:tcW w:w="894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Squadron Master Fund LP</w:t>
            </w:r>
            <w:r>
              <w:rPr>
                <w:rFonts w:ascii="Times New Roman" w:cs="Times New Roman" w:eastAsia="Times New Roman" w:hAnsi="Times New Roman"/>
                <w:sz w:val="29"/>
                <w:szCs w:val="29"/>
                <w:color w:val="auto"/>
                <w:vertAlign w:val="superscript"/>
              </w:rPr>
              <w:t>(12)</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1,615,383</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94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Boxer Capital Master Fund, LP</w:t>
            </w:r>
            <w:r>
              <w:rPr>
                <w:rFonts w:ascii="Times New Roman" w:cs="Times New Roman" w:eastAsia="Times New Roman" w:hAnsi="Times New Roman"/>
                <w:sz w:val="29"/>
                <w:szCs w:val="29"/>
                <w:color w:val="auto"/>
                <w:vertAlign w:val="superscript"/>
              </w:rPr>
              <w:t>(13)</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1,615,383</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94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Casdin Partners Master Fund, L.P.</w:t>
            </w:r>
            <w:r>
              <w:rPr>
                <w:rFonts w:ascii="Times New Roman" w:cs="Times New Roman" w:eastAsia="Times New Roman" w:hAnsi="Times New Roman"/>
                <w:sz w:val="29"/>
                <w:szCs w:val="29"/>
                <w:color w:val="auto"/>
                <w:vertAlign w:val="superscript"/>
              </w:rPr>
              <w:t>(14)</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1,615,383</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94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Adage Capital Partners L.P.</w:t>
            </w:r>
            <w:r>
              <w:rPr>
                <w:rFonts w:ascii="Times New Roman" w:cs="Times New Roman" w:eastAsia="Times New Roman" w:hAnsi="Times New Roman"/>
                <w:sz w:val="29"/>
                <w:szCs w:val="29"/>
                <w:color w:val="auto"/>
                <w:vertAlign w:val="superscript"/>
              </w:rPr>
              <w:t>(15)</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1,615,383</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94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Superstring Capital Management LP</w:t>
            </w:r>
            <w:r>
              <w:rPr>
                <w:rFonts w:ascii="Times New Roman" w:cs="Times New Roman" w:eastAsia="Times New Roman" w:hAnsi="Times New Roman"/>
                <w:sz w:val="29"/>
                <w:szCs w:val="29"/>
                <w:color w:val="auto"/>
                <w:vertAlign w:val="superscript"/>
              </w:rPr>
              <w:t>(16)</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461,541</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94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Woodline Master Fund LP</w:t>
            </w:r>
            <w:r>
              <w:rPr>
                <w:rFonts w:ascii="Times New Roman" w:cs="Times New Roman" w:eastAsia="Times New Roman" w:hAnsi="Times New Roman"/>
                <w:sz w:val="29"/>
                <w:szCs w:val="29"/>
                <w:color w:val="auto"/>
                <w:vertAlign w:val="superscript"/>
              </w:rPr>
              <w:t>(17)</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461,541</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94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Affinity Healthcare Fund, LP</w:t>
            </w:r>
            <w:r>
              <w:rPr>
                <w:rFonts w:ascii="Times New Roman" w:cs="Times New Roman" w:eastAsia="Times New Roman" w:hAnsi="Times New Roman"/>
                <w:sz w:val="29"/>
                <w:szCs w:val="29"/>
                <w:color w:val="auto"/>
                <w:vertAlign w:val="superscript"/>
              </w:rPr>
              <w:t>(18)</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461,541</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8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An entity to be formed and controlled by Lu Yang </w:t>
            </w:r>
            <w:r>
              <w:rPr>
                <w:rFonts w:ascii="Times New Roman" w:cs="Times New Roman" w:eastAsia="Times New Roman" w:hAnsi="Times New Roman"/>
                <w:sz w:val="29"/>
                <w:szCs w:val="29"/>
                <w:color w:val="auto"/>
                <w:vertAlign w:val="superscript"/>
              </w:rPr>
              <w:t>(19)</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25,384,617</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9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Less than one percent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hanging="372"/>
        <w:spacing w:after="0" w:line="261"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184,616,189 total ordinary shares, which consists of (i) 159,231,572 ordinary shares of the Company issued and outstanding as of the date of March 6, 2026 and (ii) 25,384,617 ordinary shares to be issued to an entity to be formed and controlled by Lu Yang.</w:t>
      </w:r>
    </w:p>
    <w:p>
      <w:pPr>
        <w:ind w:left="380" w:hanging="372"/>
        <w:spacing w:after="0" w:line="250"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923,076 Class A ordinary share held by Crum Creek Holding Limited. The registered address of Crum Creek Holding Limited is Sea Meadow House, P.O. Box 116, Road Town, Tortola, British Virgin Islands.</w:t>
      </w:r>
    </w:p>
    <w:p>
      <w:pPr>
        <w:ind w:left="380" w:hanging="372"/>
        <w:spacing w:after="0" w:line="250"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8,538,462 Class A ordinary shares held by Cormorant Global Healthcare Master Fund, LP. The registered address of Cormorant Global Healthcare Master Fund, LP. is 200 Clarendon Street, 52nd Floor Boston, MA 02116.</w:t>
      </w:r>
    </w:p>
    <w:p>
      <w:pPr>
        <w:ind w:left="380" w:right="20" w:hanging="372"/>
        <w:spacing w:after="0" w:line="250"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6,461,538 Class A ordinary shares held by Seligman Health Spectrum (Master) Fund. The registered address of Seligman Health Spectrum (Master) Fund is 290 Congress Street, Boston, MA 02210.</w:t>
      </w:r>
    </w:p>
    <w:p>
      <w:pPr>
        <w:ind w:left="380" w:hanging="372"/>
        <w:spacing w:after="0" w:line="250"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773,928 Class A ordinary shares held by Seligman Tech Spectrum (Master) Fund. The registered address of Seligman Tech Spectrum (Master) Fund is 290 Congress Street, Boston, MA 02210.</w:t>
      </w:r>
    </w:p>
    <w:p>
      <w:pPr>
        <w:ind w:left="380" w:hanging="372"/>
        <w:spacing w:after="0" w:line="250"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1,302,996 Class A ordinary shares held by Seligman Tech Spectrum Offshore Fund. The registered address of Seligman Tech Spectrum Offshore Fund is 290 Congress Street, Boston, MA 02210.</w:t>
      </w:r>
    </w:p>
    <w:p>
      <w:pPr>
        <w:ind w:left="380" w:hanging="372"/>
        <w:spacing w:after="0" w:line="250"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1,126,386 Class A ordinary shares held by Venrock Healthcare Capital Partners III, L.P. The registered address of Venrock Healthcare Capital Partners III, L.P. is 7 Bryant Park, 23rd Floor, New York, NY 10018 USA.</w:t>
      </w:r>
    </w:p>
    <w:p>
      <w:pPr>
        <w:ind w:left="380" w:hanging="372"/>
        <w:spacing w:after="0" w:line="250"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112,845 Class A ordinary shares held by VHCP Co-Investment Holdings III, LLC. The registered address of VHCP Co-Investment Holdings III, LLC is 7 Bryant Park, 23rd Floor, New York, NY 10018 USA.</w:t>
      </w:r>
    </w:p>
    <w:p>
      <w:pPr>
        <w:ind w:left="380" w:hanging="372"/>
        <w:spacing w:after="0" w:line="250"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5,683,848 Class A ordinary shares held by Venrock Healthcare Capital Partners EG, L.P. The registered address of Venrock Healthcare Capital Partners EG, L.P. is 7 Bryant Park, 23rd Floor, New York, NY 10018 USA.</w:t>
      </w:r>
    </w:p>
    <w:p>
      <w:pPr>
        <w:ind w:left="380" w:hanging="372"/>
        <w:spacing w:after="0" w:line="250"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4,153,845 Class A ordinary shares held by Atlas Private Holdings (Cayman) Ltd. The registered address of Atlas Private Holdings (Cayman) Ltd. is 444 West Lake Street, 50th Floor, Chicago, IL 60606 c/o Balyasny Asset Management L.P.</w:t>
      </w:r>
    </w:p>
    <w:p>
      <w:pPr>
        <w:ind w:left="380" w:right="20" w:hanging="372"/>
        <w:spacing w:after="0" w:line="250"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2,307,690 Class A ordinary shares held by Point72 Associates, LLC. The registered address of Point72 Associates, LLC is 72 Cummings Point Road, Stamford, Connecticut 06902.</w:t>
      </w:r>
    </w:p>
    <w:p>
      <w:pPr>
        <w:ind w:left="380" w:right="20" w:hanging="372"/>
        <w:spacing w:after="0" w:line="260"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1,615,383 Class A ordinary shares held by Squadron Master Fund LP. The registered address of Squadron Master Fund LP is 999 Oakmont Plaza Dr, Suite 600, Westmont IL 60559.</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380" w:right="20" w:hanging="372"/>
        <w:spacing w:after="0" w:line="261"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1,615,383 Class A ordinary shares held by Boxer Capital Master Fund, LP. The registered address of Boxer Capital Master Fund, LP is 12860 El Camino Real, Suite 300, San Diego, California, 92130, USA.</w:t>
      </w:r>
    </w:p>
    <w:p>
      <w:pPr>
        <w:ind w:left="380" w:hanging="372"/>
        <w:spacing w:after="0" w:line="250"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1,615,383 Class A ordinary shares held by Casdin Partners Master Fund, L.P. The registered address of Casdin Partners Master Fund, L.P. is 1350 Avenue of Americas, Suite 2600, New York, New York 10019.</w:t>
      </w:r>
    </w:p>
    <w:p>
      <w:pPr>
        <w:ind w:left="380" w:hanging="372"/>
        <w:spacing w:after="0" w:line="250"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1,615,383 Class A ordinary shares held by Adage Capital Partners L.P.. The registered address of Adage Capital Partners L.P. is 200 Clarendon Street, 52nd Floor Boston, MA 02116 United States.</w:t>
      </w:r>
    </w:p>
    <w:p>
      <w:pPr>
        <w:ind w:left="380" w:hanging="372"/>
        <w:spacing w:after="0" w:line="250"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461,541 Class A ordinary shares held by Superstring Capital Management LP. The registered address of Superstring Capital Management LP. is 150 E 52nd St, Suite 5004, New York, NY 10022.</w:t>
      </w:r>
    </w:p>
    <w:p>
      <w:pPr>
        <w:ind w:left="380" w:hanging="372"/>
        <w:spacing w:after="0" w:line="250"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461,541 Class A ordinary shares held by Woodline Master Fund LP. The registered address of Woodline Master Fund LP. is 4 Embarcadero Center, Suite 3450, San Francisco, CA 94111.</w:t>
      </w:r>
    </w:p>
    <w:p>
      <w:pPr>
        <w:ind w:left="380" w:right="20" w:hanging="372"/>
        <w:spacing w:after="0" w:line="250"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461,541 Class A ordinary shares held by Affinity Healthcare Fund, LP. The registered address of Affinity Healthcare Fund, LP. is 450 Park Avenue, Suite 1403, New York, NY 10022.</w:t>
      </w:r>
    </w:p>
    <w:p>
      <w:pPr>
        <w:ind w:left="380" w:hanging="372"/>
        <w:spacing w:after="0" w:line="260"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25,384,617 Class A ordinary share to be issued to an entity to be formed and controlled by Lu Yang, our chairman and chief executive officer, upon satisfaction of the closing conditions of the securities purchase agreement.</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selling shareholders and intermediaries through whom such securities are sold may be deemed “underwriters” within the meaning of the Securities Act with respect to the securities offered by this prospectus, and any profits realized or commissions received may be deemed underwriting compensation.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 selling shareholders not named in this prospectus will not be able to use this prospectus for resales until they are named in the table above by prospectus supplement or post-effective amendment. Transferees, successors and donees of identified selling shareholders will not be able to use this prospectus for resales until they are named in the table above by prospectus supplement or post-effective amendment. If required, we will add transferees, successors and donees by prospectus supplement in instances where the transferee, successor or donee has acquired its securities from holders named in this prospectus after the effective date of this prospectus.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Material income tax consequences relating to the purchase, ownership, and disposition of the securities offered by this prospectus are set forth in “Item 10. Additional Information—10.E. Taxation” in </w:t>
      </w:r>
      <w:hyperlink r:id="rId56">
        <w:r>
          <w:rPr>
            <w:rFonts w:ascii="Times New Roman" w:cs="Times New Roman" w:eastAsia="Times New Roman" w:hAnsi="Times New Roman"/>
            <w:sz w:val="18"/>
            <w:szCs w:val="18"/>
            <w:u w:val="single" w:color="auto"/>
            <w:color w:val="0000EE"/>
          </w:rPr>
          <w:t>our annual report on Form 20-F for the fiscal year ended December 31, 2024</w:t>
        </w:r>
      </w:hyperlink>
      <w:r>
        <w:rPr>
          <w:rFonts w:ascii="Times New Roman" w:cs="Times New Roman" w:eastAsia="Times New Roman" w:hAnsi="Times New Roman"/>
          <w:sz w:val="18"/>
          <w:szCs w:val="18"/>
          <w:color w:val="auto"/>
        </w:rPr>
        <w:t>, which is incorporated herein by reference, as updated by our subsequent filings under the Exchange Act that are incorporated by reference and, if applicable, in any accompanying prospectus supplement or relevant free writing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expenses in connection with this offering, all of which will be paid by us. All amounts shown are estimates, except for the SEC registration fee.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108,321.39</w:t>
            </w:r>
          </w:p>
        </w:tc>
      </w:tr>
      <w:tr>
        <w:trPr>
          <w:trHeight w:val="216"/>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Financial Industry Regulatory Authority fees</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postage expenses</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9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9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right="2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provided by a prospectus supplement or as an exhibit to a report of foreign private issuer on Form 6-K that is incorporated by reference into this registration statement. Estimated solely for this item. Actual expenses may vary.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being represented by Han Kun Law Offices LLP with respect to certain legal matters of U.S. federal securities and New York State law. The validity of the securities offered in this offering and certain other legal matters as to Cayman Islands law will be passed upon for us by Maples and Calder (Hong Kong) LLP and T&amp;C Law Firm with respect to matters governed by PRC law.</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legal matters in connection with offerings made pursuant to this prospectus are passed upon by counsel to underwriters, dealers, or agents, such counsel will be named in the applicable prospectus supplement relating to any such offering.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Adlai Nortye Ltd. (the Company) as of December 31, 2024 and for the year ended December 31, 2024 incorporated by reference in this prospectus by reference to our annual report on Form 20-F, as amended by Form 20-F/A (Amendment No.1) for the year ended December 31, 2024, have been so incorporated in reliance on the report of BDO China Shu Lun Pan Certified Public Accountants LLP, an independent registered public accounting firm, given on the authority of said firm as experts in auditing and accounting. The report on the consolidated financial statements contains an explanatory paragraph regarding the Company’s ability to continue as a going concern and an emphasis of matter paragraph related to the revision to previously issued consolidated financial statements.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Adlai Nortye Ltd. as of December 31, 2023 and for each of the years in the two-year period ended December 31, 2023 incorporated by reference in this prospectus by reference to our annual report on Form 20-F for the year ended December 31, 2024, as amended by Form 20-F/A (Amendment No.1), have been so incorporated in reliance on the report of Mazars USA LLP, an independent registered public accounting firm, given on the authority of said firm as experts in auditing and accounting.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certain information that we file with the SEC. This means that we can disclose important information to you by referring you to those documents. Any statement contained in a document incorporated by reference in this prospectus shall be deemed to be modified or superseded for purposes of this prospectus to the extent that a statement contained herein, or in any subsequently filed document, which also is incorporated by reference herein, modifies or supersedes such earlier statement. Any such statement so modified or superseded shall not be deemed, except as so modified or superseded, to constitute a part of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incorporate by reference into this prospectus the following documents:</w:t>
      </w:r>
    </w:p>
    <w:p>
      <w:pPr>
        <w:spacing w:after="0" w:line="225" w:lineRule="exact"/>
        <w:rPr>
          <w:sz w:val="20"/>
          <w:szCs w:val="20"/>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20-F for the fiscal year ended December 31, 2024, as amended, filed with the SEC on </w:t>
      </w:r>
      <w:hyperlink r:id="rId59">
        <w:r>
          <w:rPr>
            <w:rFonts w:ascii="Times New Roman" w:cs="Times New Roman" w:eastAsia="Times New Roman" w:hAnsi="Times New Roman"/>
            <w:sz w:val="18"/>
            <w:szCs w:val="18"/>
            <w:u w:val="single" w:color="auto"/>
            <w:color w:val="0000EE"/>
          </w:rPr>
          <w:t>April 30, 2025</w:t>
        </w:r>
      </w:hyperlink>
      <w:r>
        <w:rPr>
          <w:rFonts w:ascii="Times New Roman" w:cs="Times New Roman" w:eastAsia="Times New Roman" w:hAnsi="Times New Roman"/>
          <w:sz w:val="18"/>
          <w:szCs w:val="18"/>
          <w:color w:val="auto"/>
        </w:rPr>
        <w:t xml:space="preserve">, and amended on </w:t>
      </w:r>
      <w:hyperlink r:id="rId60">
        <w:r>
          <w:rPr>
            <w:rFonts w:ascii="Times New Roman" w:cs="Times New Roman" w:eastAsia="Times New Roman" w:hAnsi="Times New Roman"/>
            <w:sz w:val="18"/>
            <w:szCs w:val="18"/>
            <w:u w:val="single" w:color="auto"/>
            <w:color w:val="0000EE"/>
          </w:rPr>
          <w:t>May 12, 2025</w:t>
        </w:r>
      </w:hyperlink>
      <w:r>
        <w:rPr>
          <w:rFonts w:ascii="Times New Roman" w:cs="Times New Roman" w:eastAsia="Times New Roman" w:hAnsi="Times New Roman"/>
          <w:sz w:val="18"/>
          <w:szCs w:val="18"/>
          <w:color w:val="000000"/>
        </w:rPr>
        <w:t>;</w:t>
      </w:r>
    </w:p>
    <w:p>
      <w:pPr>
        <w:spacing w:after="0" w:line="161" w:lineRule="exact"/>
        <w:rPr>
          <w:rFonts w:ascii="Times New Roman" w:cs="Times New Roman" w:eastAsia="Times New Roman" w:hAnsi="Times New Roman"/>
          <w:sz w:val="18"/>
          <w:szCs w:val="18"/>
          <w:color w:val="0000EE"/>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reports of foreign private issuer on Form 6-K filed with the SEC on </w:t>
      </w:r>
      <w:hyperlink r:id="rId61">
        <w:r>
          <w:rPr>
            <w:rFonts w:ascii="Times New Roman" w:cs="Times New Roman" w:eastAsia="Times New Roman" w:hAnsi="Times New Roman"/>
            <w:sz w:val="18"/>
            <w:szCs w:val="18"/>
            <w:u w:val="single" w:color="auto"/>
            <w:color w:val="0000EE"/>
          </w:rPr>
          <w:t>May 30, 2025</w:t>
        </w:r>
      </w:hyperlink>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u w:val="single" w:color="auto"/>
            <w:color w:val="0000EE"/>
          </w:rPr>
          <w:t>July 09, 2025</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u w:val="single" w:color="auto"/>
            <w:color w:val="0000EE"/>
          </w:rPr>
          <w:t>October 22, 2025</w:t>
        </w:r>
      </w:hyperlink>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u w:val="single" w:color="auto"/>
            <w:color w:val="0000EE"/>
          </w:rPr>
          <w:t>December 03, 2025</w:t>
        </w:r>
      </w:hyperlink>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u w:val="single" w:color="auto"/>
            <w:color w:val="0000EE"/>
          </w:rPr>
          <w:t>December 29,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6">
        <w:r>
          <w:rPr>
            <w:rFonts w:ascii="Times New Roman" w:cs="Times New Roman" w:eastAsia="Times New Roman" w:hAnsi="Times New Roman"/>
            <w:sz w:val="18"/>
            <w:szCs w:val="18"/>
            <w:u w:val="single" w:color="auto"/>
            <w:color w:val="0000EE"/>
          </w:rPr>
          <w:t xml:space="preserve">February 03, 2026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67">
        <w:r>
          <w:rPr>
            <w:rFonts w:ascii="Times New Roman" w:cs="Times New Roman" w:eastAsia="Times New Roman" w:hAnsi="Times New Roman"/>
            <w:sz w:val="18"/>
            <w:szCs w:val="18"/>
            <w:u w:val="single" w:color="auto"/>
            <w:color w:val="0000EE"/>
          </w:rPr>
          <w:t>February 12, 2026</w:t>
        </w:r>
      </w:hyperlink>
      <w:r>
        <w:rPr>
          <w:rFonts w:ascii="Times New Roman" w:cs="Times New Roman" w:eastAsia="Times New Roman" w:hAnsi="Times New Roman"/>
          <w:sz w:val="18"/>
          <w:szCs w:val="18"/>
          <w:color w:val="000000"/>
        </w:rPr>
        <w:t>;</w:t>
      </w:r>
    </w:p>
    <w:p>
      <w:pPr>
        <w:spacing w:after="0" w:line="161" w:lineRule="exact"/>
        <w:rPr>
          <w:rFonts w:ascii="Times New Roman" w:cs="Times New Roman" w:eastAsia="Times New Roman" w:hAnsi="Times New Roman"/>
          <w:sz w:val="18"/>
          <w:szCs w:val="18"/>
          <w:color w:val="0000EE"/>
        </w:rPr>
      </w:pPr>
    </w:p>
    <w:p>
      <w:pPr>
        <w:jc w:val="both"/>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auto"/>
          </w:rPr>
          <w:t xml:space="preserve">the description of our ordinary shares contained in our registration statements on Form 8-A, filed with the SEC on </w:t>
        </w:r>
        <w:r>
          <w:rPr>
            <w:rFonts w:ascii="Times New Roman" w:cs="Times New Roman" w:eastAsia="Times New Roman" w:hAnsi="Times New Roman"/>
            <w:sz w:val="18"/>
            <w:szCs w:val="18"/>
            <w:u w:val="single" w:color="auto"/>
            <w:color w:val="0000EE"/>
          </w:rPr>
          <w:t>August 7, 2023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August 18,</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 which incorporates by reference the description of the Registrant’s ordinary shares set forth in the Registrant’s Registration Statement on</w:t>
        </w:r>
      </w:hyperlink>
      <w:r>
        <w:rPr>
          <w:rFonts w:ascii="Times New Roman" w:cs="Times New Roman" w:eastAsia="Times New Roman" w:hAnsi="Times New Roman"/>
          <w:sz w:val="18"/>
          <w:szCs w:val="18"/>
          <w:color w:val="0000EE"/>
        </w:rPr>
        <w:t xml:space="preserve"> </w:t>
      </w:r>
      <w:hyperlink r:id="rId69">
        <w:r>
          <w:rPr>
            <w:rFonts w:ascii="Times New Roman" w:cs="Times New Roman" w:eastAsia="Times New Roman" w:hAnsi="Times New Roman"/>
            <w:sz w:val="18"/>
            <w:szCs w:val="18"/>
            <w:u w:val="single" w:color="auto"/>
            <w:color w:val="0000EE"/>
          </w:rPr>
          <w:t>Form F-1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(Registration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 333-273465), as amended, originally filed with the SEC on July 27, 2023, including any amendments or reports 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the purpose of updating such description, and any amendment or report filed for the purpose of updating such description;</w:t>
      </w:r>
    </w:p>
    <w:p>
      <w:pPr>
        <w:spacing w:after="0" w:line="179" w:lineRule="exact"/>
        <w:rPr>
          <w:rFonts w:ascii="Times New Roman" w:cs="Times New Roman" w:eastAsia="Times New Roman" w:hAnsi="Times New Roman"/>
          <w:sz w:val="18"/>
          <w:szCs w:val="18"/>
          <w:color w:val="0000EE"/>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annual reports on Form 20-F filed with the SEC after the date of this prospectus and prior to the termination of the offering of the securities offered by this prospectus;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reports of foreign private issuer on Form 6-K that we furnish to the SEC after the date of this prospectus that are identified in such reports as being incorporated by reference into the registration statement of which this prospectus forms a part.</w:t>
      </w:r>
    </w:p>
    <w:p>
      <w:pPr>
        <w:spacing w:after="0" w:line="162" w:lineRule="exact"/>
        <w:rPr>
          <w:rFonts w:ascii="Times New Roman" w:cs="Times New Roman" w:eastAsia="Times New Roman" w:hAnsi="Times New Roman"/>
          <w:sz w:val="18"/>
          <w:szCs w:val="18"/>
          <w:color w:val="auto"/>
        </w:rPr>
      </w:pPr>
    </w:p>
    <w:p>
      <w:pPr>
        <w:jc w:val="both"/>
        <w:spacing w:after="0" w:line="282" w:lineRule="auto"/>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auto"/>
          </w:rPr>
          <w:t xml:space="preserve">Our annual report on Form 20-F for the fiscal year ended December 31, 2024, as amended, filed with the SEC on </w:t>
        </w:r>
        <w:r>
          <w:rPr>
            <w:rFonts w:ascii="Times New Roman" w:cs="Times New Roman" w:eastAsia="Times New Roman" w:hAnsi="Times New Roman"/>
            <w:sz w:val="18"/>
            <w:szCs w:val="18"/>
            <w:u w:val="single" w:color="auto"/>
            <w:color w:val="0000EE"/>
          </w:rPr>
          <w:t>April 30, 2025</w:t>
        </w:r>
        <w:r>
          <w:rPr>
            <w:rFonts w:ascii="Times New Roman" w:cs="Times New Roman" w:eastAsia="Times New Roman" w:hAnsi="Times New Roman"/>
            <w:sz w:val="18"/>
            <w:szCs w:val="18"/>
            <w:color w:val="auto"/>
          </w:rPr>
          <w:t xml:space="preserve"> and amended on </w:t>
        </w:r>
        <w:r>
          <w:rPr>
            <w:rFonts w:ascii="Times New Roman" w:cs="Times New Roman" w:eastAsia="Times New Roman" w:hAnsi="Times New Roman"/>
            <w:sz w:val="18"/>
            <w:szCs w:val="18"/>
            <w:u w:val="single" w:color="auto"/>
            <w:color w:val="0000EE"/>
          </w:rPr>
          <w:t>May 12,</w:t>
        </w:r>
      </w:hyperlink>
      <w:r>
        <w:rPr>
          <w:rFonts w:ascii="Times New Roman" w:cs="Times New Roman" w:eastAsia="Times New Roman" w:hAnsi="Times New Roman"/>
          <w:sz w:val="18"/>
          <w:szCs w:val="18"/>
          <w:color w:val="auto"/>
        </w:rPr>
        <w:t xml:space="preserve"> </w:t>
      </w:r>
      <w:hyperlink r:id="rId70">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contains a description of our business and audited consolidated financial statements with a report by our independent auditors.</w:t>
        </w:r>
      </w:hyperlink>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 PO Box 309, Ugland House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Grand Cayman, KY1-1104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Cayman Islands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+1 848 230 7430</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We have not authorized anyone to provide you with different information. We are not making any offer to sell these securities in any jurisdiction where the offer or sale is not permitted. You should not assume that the information contained or incorporated in this prospectus by reference is accurate as of any date other than the date of the document containing the information.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permitted by SEC rules, this prospectus omits certain information and exhibits that are included in the registration statement of which this prospectus forms a part. Since this prospectus may not contain all of the information that you may find important, you should review the full text of these documents. If we have filed a contract, agreement, or other document as an exhibit to the registration statement of which this prospectus forms a part, you should read the exhibit for a more complete understanding of the document or matter involved. Each statement in this prospectus, including statements incorporated by reference as discussed above, regarding a contract, agreement, or other document is qualified in its entirety by reference to the actual document.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inspected over the Internet at the SEC’s website at www.sec.gov and copied at the public reference facilities maintained by the SEC at 100 F Street, N.E., Washington, D.C. 20549. You can request copies of these documents, upon payment of a duplicating fee, by writing to the SEC.</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or current reports and financial statements with the SEC as frequently or as promptly as U.S. companies whose securities are registered under the Exchange Act.</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incorporated in the Cayman Islands, as an exempted company, in order to enjoy the following benefits:</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 the following:</w:t>
      </w:r>
    </w:p>
    <w:p>
      <w:pPr>
        <w:spacing w:after="0" w:line="225"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as compared to the United States;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both"/>
        <w:spacing w:after="0" w:line="261" w:lineRule="auto"/>
        <w:rPr>
          <w:sz w:val="20"/>
          <w:szCs w:val="20"/>
          <w:color w:val="auto"/>
        </w:rPr>
      </w:pPr>
      <w:r>
        <w:rPr>
          <w:rFonts w:ascii="Times New Roman" w:cs="Times New Roman" w:eastAsia="Times New Roman" w:hAnsi="Times New Roman"/>
          <w:sz w:val="18"/>
          <w:szCs w:val="18"/>
          <w:color w:val="auto"/>
        </w:rPr>
        <w:t>A majority of our directors and officers are nationals or residents of jurisdictions other than the United States and a substantial portion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appointed Cogency Global Inc. as our agent upon whom process may be served in any action brought against us under the securities laws of the United States.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Maples and Calder (Hong Kong) LLP, our counsel as to Cayman Islands law, has advised us that the courts of the Cayman Islands are unlikely (i) to recognise or enforce against us or our directors or officers judgments of courts of the United States predicated upon the civil liability provisions of the securities laws of the United States or any State; and (ii) in original actions brought in the Cayman Islands, to impose liabilities against us or our directors or officers predicated upon the civil liability provisions of the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recognise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such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T&amp;C Law Firm, our counsel as to PRC law, has advised us that there is uncertainty as to whether the courts of China, would:</w:t>
      </w:r>
    </w:p>
    <w:p>
      <w:pPr>
        <w:spacing w:after="0" w:line="225" w:lineRule="exact"/>
        <w:rPr>
          <w:sz w:val="20"/>
          <w:szCs w:val="20"/>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U.S. courts obtained against us or our directors or officers predicated upon the civil liability provisions of the securities laws of the United States or any state in the United States so far as the liabilities imposed by those provisions are penal in nature; or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civil liability provisions of the securities laws of the United States or any state in the United States.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been advised by our PRC legal counsel, that there is uncertainty as to whether the courts of the PRC would enforce judgments of U.S. courts or Cayman courts obtained against us or these persons predicated upon the civil liability provisions of the U.S. federal and state securities laws or Cayman Island laws. T&amp;C Law Firm has further advised us that the recognition and enforcement of foreign judgments are provided for under PRC Civil Procedures Law. PRC courts may recognize and enforce foreign judgments in accordance with the requirements of PRC Civil Procedures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3480" w:firstLine="3488"/>
        <w:spacing w:after="0" w:line="424" w:lineRule="auto"/>
        <w:rPr>
          <w:sz w:val="20"/>
          <w:szCs w:val="20"/>
          <w:color w:val="auto"/>
        </w:rPr>
      </w:pPr>
      <w:r>
        <w:rPr>
          <w:rFonts w:ascii="Times New Roman" w:cs="Times New Roman" w:eastAsia="Times New Roman" w:hAnsi="Times New Roman"/>
          <w:sz w:val="18"/>
          <w:szCs w:val="18"/>
          <w:b w:val="1"/>
          <w:bCs w:val="1"/>
          <w:color w:val="auto"/>
        </w:rPr>
        <w:t>INFORMATION NOT REQUIRED IN PROSPECTUS Item 8. Indemnification of Directors and Officers</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Under these agreements, each of our executive officers is employed for a specified time period. We may terminate employment for cause, at any time, for certain acts of the executive officer, such as continued failure to satisfactorily perform, willful misconduct or gross negligence in the performance of agreed duties, conviction or entry of a guilty or nolo contendere plea of any felony or any misdemeanor involving moral turpitude, or dishonest act that results in material financial, reputational or other harm to us or material breaches of the employment agreement. We may also terminate an executive officer’s employment without cause upon 60-day prior written notice. In such case of termination by us, we will provide severance payments to the executive officer as may be agreed between the executive officer and us. The executive officer may terminate the employment at any time with a 60-day prior written notice.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executive officer has agreed to hold, both during the term of the employment and at all times thereafter,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 (i) approach the suppliers, clients, direct or end customers or contacts or other persons or entities introduced to the executive officers in his or her capacity as our representative for the purpose of doing business of the same or of a similar nature to our business or doing business that will harm our business relationships with the foregoing persons or entities; (ii) assume employment with or provide services to any of our competitors, or engage, whether as principal, partner, licensor or otherwise, any of our competitors, without our express consent; (iii) seek, directly or indirectly, to solicit the employment or services of, or hire or engage, any person who is known to be employed or engaged by us; or (iv) otherwise interfere with our business or accounts.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entered into indemnification agreements with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beginning on page II-3 of this registration statement.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Undertakings</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57" w:lineRule="exact"/>
        <w:rPr>
          <w:rFonts w:ascii="Times New Roman" w:cs="Times New Roman" w:eastAsia="Times New Roman" w:hAnsi="Times New Roman"/>
          <w:sz w:val="18"/>
          <w:szCs w:val="18"/>
          <w:color w:val="auto"/>
        </w:rPr>
      </w:pPr>
    </w:p>
    <w:p>
      <w:pPr>
        <w:jc w:val="both"/>
        <w:ind w:left="1300" w:hanging="320"/>
        <w:spacing w:after="0" w:line="254" w:lineRule="auto"/>
        <w:tabs>
          <w:tab w:leader="none" w:pos="130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24" w:lineRule="exact"/>
        <w:rPr>
          <w:sz w:val="20"/>
          <w:szCs w:val="20"/>
          <w:color w:val="auto"/>
        </w:rPr>
      </w:pPr>
    </w:p>
    <w:p>
      <w:pPr>
        <w:ind w:left="1300" w:hanging="320"/>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of this section do not apply if the information required to be included in a post-effective amendment by those paragraphs is contained in reports filed with or furnished to the Securities and Exchange Commission by the registrant pursuant to Section 13 or 15(d) of the Securities Exchange Act of 1934 that are incorporated by reference in the registration statement, or is contained in a form of prospectus filed pursuant to Rule 424(b).</w:t>
      </w:r>
    </w:p>
    <w:p>
      <w:pPr>
        <w:spacing w:after="0" w:line="114" w:lineRule="exact"/>
        <w:rPr>
          <w:sz w:val="20"/>
          <w:szCs w:val="20"/>
          <w:color w:val="auto"/>
        </w:rPr>
      </w:pPr>
    </w:p>
    <w:p>
      <w:pPr>
        <w:jc w:val="both"/>
        <w:ind w:left="980" w:hanging="324"/>
        <w:spacing w:after="0" w:line="266"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 effective amendment shall be deemed to be a new registration statement relating to the securities offered therein, and the offering of such securities at that time shall be deemed to be the initial bona fide offering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ind w:left="648" w:hanging="324"/>
        <w:spacing w:after="0" w:line="282" w:lineRule="auto"/>
        <w:tabs>
          <w:tab w:leader="none" w:pos="6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648" w:hanging="324"/>
        <w:spacing w:after="0" w:line="261" w:lineRule="auto"/>
        <w:tabs>
          <w:tab w:leader="none" w:pos="6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w:t>
      </w:r>
    </w:p>
    <w:p>
      <w:pPr>
        <w:jc w:val="both"/>
        <w:ind w:left="648"/>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of the Securities Act of 1933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of 1933 or Rule 3-19 of Regulation S-K if such financial statements and information are contained in periodic reports filed with or furnished to the SEC by the registrant pursuant to Section 13 or Section 15(d) of the Securities Exchange Act of 1934 that are incorporated by reference in the Form F-3.</w:t>
      </w:r>
    </w:p>
    <w:p>
      <w:pPr>
        <w:spacing w:after="0" w:line="188"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sz w:val="20"/>
          <w:szCs w:val="20"/>
          <w:color w:val="auto"/>
        </w:rPr>
      </w:pPr>
    </w:p>
    <w:p>
      <w:pPr>
        <w:ind w:left="968" w:hanging="320"/>
        <w:spacing w:after="0" w:line="282" w:lineRule="auto"/>
        <w:tabs>
          <w:tab w:leader="none" w:pos="968"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left="968" w:hanging="320"/>
        <w:spacing w:after="0" w:line="253" w:lineRule="auto"/>
        <w:tabs>
          <w:tab w:leader="none" w:pos="968"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9" w:lineRule="exact"/>
        <w:rPr>
          <w:rFonts w:ascii="Times New Roman" w:cs="Times New Roman" w:eastAsia="Times New Roman" w:hAnsi="Times New Roman"/>
          <w:sz w:val="18"/>
          <w:szCs w:val="18"/>
          <w:color w:val="auto"/>
        </w:rPr>
      </w:pPr>
    </w:p>
    <w:p>
      <w:pPr>
        <w:jc w:val="both"/>
        <w:ind w:left="648" w:hanging="324"/>
        <w:spacing w:after="0" w:line="258" w:lineRule="auto"/>
        <w:tabs>
          <w:tab w:leader="none" w:pos="64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left="968" w:right="20" w:hanging="320"/>
        <w:spacing w:after="0" w:line="282" w:lineRule="auto"/>
        <w:tabs>
          <w:tab w:leader="none" w:pos="968"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6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10"/>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1"/>
                <w:szCs w:val="21"/>
                <w:color w:val="auto"/>
              </w:rPr>
            </w:pPr>
          </w:p>
        </w:tc>
        <w:tc>
          <w:tcPr>
            <w:tcW w:w="100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76"/>
        </w:trPr>
        <w:tc>
          <w:tcPr>
            <w:tcW w:w="100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40" w:type="dxa"/>
            <w:vAlign w:val="bottom"/>
            <w:tcBorders>
              <w:top w:val="single" w:sz="8" w:color="auto"/>
            </w:tcBorders>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Specimen American Depositary Receipt (included in Exhibit 4.2)(incorporated herein by reference as Exhibit 4.1 filed with the</w:t>
              </w:r>
            </w:hyperlink>
          </w:p>
        </w:tc>
      </w:tr>
      <w:tr>
        <w:trPr>
          <w:trHeight w:val="216"/>
        </w:trPr>
        <w:tc>
          <w:tcPr>
            <w:tcW w:w="1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40" w:type="dxa"/>
            <w:vAlign w:val="bottom"/>
            <w:tcBorders>
              <w:top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Registration Statement on Form F-1 (File No. 333-273465), initially filed on July 27, 2023)</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bottom w:val="single" w:sz="8" w:color="CCEEFF"/>
            </w:tcBorders>
            <w:shd w:val="clear" w:color="auto" w:fill="CCEEFF"/>
          </w:tcPr>
          <w:p>
            <w:pPr>
              <w:spacing w:after="0"/>
              <w:rPr>
                <w:sz w:val="15"/>
                <w:szCs w:val="15"/>
                <w:color w:val="auto"/>
              </w:rPr>
            </w:pPr>
          </w:p>
        </w:tc>
        <w:tc>
          <w:tcPr>
            <w:tcW w:w="1006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of Deposit Agreement, among the Registrant, the depositary and the owners and holders of American Depositary Shares issued</w:t>
              </w:r>
            </w:hyperlink>
          </w:p>
        </w:tc>
      </w:tr>
      <w:tr>
        <w:trPr>
          <w:trHeight w:val="196"/>
        </w:trPr>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60" w:type="dxa"/>
            <w:vAlign w:val="bottom"/>
            <w:tcBorders>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thereunder (incorporated herein by reference as Exhibit 4.3 filed with the Registration Statement on Form F-1 (File No. 333-273465),</w:t>
              </w:r>
            </w:hyperlink>
          </w:p>
        </w:tc>
      </w:tr>
      <w:tr>
        <w:trPr>
          <w:trHeight w:val="217"/>
        </w:trPr>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60" w:type="dxa"/>
            <w:vAlign w:val="bottom"/>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initially filed on July 27, 2023)</w:t>
              </w:r>
            </w:hyperlink>
          </w:p>
        </w:tc>
      </w:tr>
      <w:tr>
        <w:trPr>
          <w:trHeight w:val="216"/>
        </w:trPr>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CEEFF"/>
          </w:tcPr>
          <w:p>
            <w:pPr>
              <w:spacing w:after="0"/>
              <w:rPr>
                <w:sz w:val="17"/>
                <w:szCs w:val="17"/>
                <w:color w:val="auto"/>
              </w:rPr>
            </w:pPr>
          </w:p>
        </w:tc>
        <w:tc>
          <w:tcPr>
            <w:tcW w:w="1006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Maples and Calder (Hong Kong) LLP</w:t>
            </w:r>
          </w:p>
        </w:tc>
      </w:tr>
      <w:tr>
        <w:trPr>
          <w:trHeight w:val="216"/>
        </w:trPr>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shd w:val="clear" w:color="auto" w:fill="CCEEFF"/>
          </w:tcPr>
          <w:p>
            <w:pPr>
              <w:spacing w:after="0"/>
              <w:rPr>
                <w:sz w:val="18"/>
                <w:szCs w:val="18"/>
                <w:color w:val="auto"/>
              </w:rPr>
            </w:pPr>
          </w:p>
        </w:tc>
        <w:tc>
          <w:tcPr>
            <w:tcW w:w="100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Consent of BDO China Shu Lun Pan Certified Public Accountants LLP</w:t>
            </w:r>
          </w:p>
        </w:tc>
      </w:tr>
      <w:tr>
        <w:trPr>
          <w:trHeight w:val="216"/>
        </w:trPr>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shd w:val="clear" w:color="auto" w:fill="CCEEFF"/>
          </w:tcPr>
          <w:p>
            <w:pPr>
              <w:spacing w:after="0"/>
              <w:rPr>
                <w:sz w:val="18"/>
                <w:szCs w:val="18"/>
                <w:color w:val="auto"/>
              </w:rPr>
            </w:pPr>
          </w:p>
        </w:tc>
        <w:tc>
          <w:tcPr>
            <w:tcW w:w="100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Consent of Mazars USA LLP</w:t>
            </w:r>
          </w:p>
        </w:tc>
      </w:tr>
      <w:tr>
        <w:trPr>
          <w:trHeight w:val="216"/>
        </w:trPr>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0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80" w:type="dxa"/>
            <w:vAlign w:val="bottom"/>
            <w:shd w:val="clear" w:color="auto" w:fill="CCEEFF"/>
          </w:tcPr>
          <w:p>
            <w:pPr>
              <w:spacing w:after="0"/>
              <w:rPr>
                <w:sz w:val="17"/>
                <w:szCs w:val="17"/>
                <w:color w:val="auto"/>
              </w:rPr>
            </w:pPr>
          </w:p>
        </w:tc>
        <w:tc>
          <w:tcPr>
            <w:tcW w:w="1006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Maples and Calder (Hong Kong) LLP (included in Exhibit 5.1)</w:t>
            </w:r>
          </w:p>
        </w:tc>
      </w:tr>
      <w:tr>
        <w:trPr>
          <w:trHeight w:val="216"/>
        </w:trPr>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80" w:type="dxa"/>
            <w:vAlign w:val="bottom"/>
            <w:shd w:val="clear" w:color="auto" w:fill="CCEEFF"/>
          </w:tcPr>
          <w:p>
            <w:pPr>
              <w:spacing w:after="0"/>
              <w:rPr>
                <w:sz w:val="17"/>
                <w:szCs w:val="17"/>
                <w:color w:val="auto"/>
              </w:rPr>
            </w:pPr>
          </w:p>
        </w:tc>
        <w:tc>
          <w:tcPr>
            <w:tcW w:w="1006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on signature page)</w:t>
            </w:r>
          </w:p>
        </w:tc>
      </w:tr>
      <w:tr>
        <w:trPr>
          <w:trHeight w:val="216"/>
        </w:trPr>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80" w:type="dxa"/>
            <w:vAlign w:val="bottom"/>
            <w:shd w:val="clear" w:color="auto" w:fill="CCEEFF"/>
          </w:tcPr>
          <w:p>
            <w:pPr>
              <w:spacing w:after="0"/>
              <w:rPr>
                <w:sz w:val="15"/>
                <w:szCs w:val="15"/>
                <w:color w:val="auto"/>
              </w:rPr>
            </w:pPr>
          </w:p>
        </w:tc>
        <w:tc>
          <w:tcPr>
            <w:tcW w:w="1006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as an exhibit to a report filed pursuant to Section 13(a) or 15(d) of the Securities Exchange Act of 1934, as amended, and incorporated herein by reference.</w:t>
      </w:r>
    </w:p>
    <w:p>
      <w:pPr>
        <w:spacing w:after="0" w:line="16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Beijing, People’s Republic of China, on March 10, 2026.</w:t>
      </w:r>
    </w:p>
    <w:p>
      <w:pPr>
        <w:spacing w:after="0" w:line="17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Adlai Nortye Ltd.</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Yang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17145</wp:posOffset>
            </wp:positionV>
            <wp:extent cx="265747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2657475" cy="17145"/>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Name:Yang Lu</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Yang Lu, as his true and lawful attorneys-in-fact and agents, with full power of substitution and re-substitution, in his or her name, place and stead, in any and all capacities (including his capacity as a director and/or officer of the registrant), to sign any and all amendments and post-effective amendments and supplements to this registration statement, and including any registration statement for the same offering that is to be effective upon filing pursuant to Rule 462(b) under the U.S.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his substitute, may lawfully do or cause to be done by virtue hereof.</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March 10,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6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439"/>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Yang Lu</w:t>
            </w:r>
          </w:p>
        </w:tc>
        <w:tc>
          <w:tcPr>
            <w:tcW w:w="1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Chairman of the Board of Director</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Yang Lu</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r>
      <w:tr>
        <w:trPr>
          <w:trHeight w:val="42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Ping Ji</w:t>
            </w:r>
          </w:p>
        </w:tc>
        <w:tc>
          <w:tcPr>
            <w:tcW w:w="1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Ping Ji</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r>
      <w:tr>
        <w:trPr>
          <w:trHeight w:val="42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Lars Erik Birgerson</w:t>
            </w:r>
          </w:p>
        </w:tc>
        <w:tc>
          <w:tcPr>
            <w:tcW w:w="1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Lars Erik Birgerson</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r>
      <w:tr>
        <w:trPr>
          <w:trHeight w:val="42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Roger Sawhney</w:t>
            </w:r>
          </w:p>
        </w:tc>
        <w:tc>
          <w:tcPr>
            <w:tcW w:w="1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Roger Sawhney</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r>
      <w:tr>
        <w:trPr>
          <w:trHeight w:val="42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Shaorong Liu</w:t>
            </w:r>
          </w:p>
        </w:tc>
        <w:tc>
          <w:tcPr>
            <w:tcW w:w="1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Shaorong Liu</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r>
      <w:tr>
        <w:trPr>
          <w:trHeight w:val="42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Ming Lun Alan Tse</w:t>
            </w:r>
          </w:p>
        </w:tc>
        <w:tc>
          <w:tcPr>
            <w:tcW w:w="1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Ming Lun Alan Tse</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r>
      <w:tr>
        <w:trPr>
          <w:trHeight w:val="42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Baozhong Wei</w:t>
            </w:r>
          </w:p>
        </w:tc>
        <w:tc>
          <w:tcPr>
            <w:tcW w:w="1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Baozhong Wei</w:t>
            </w:r>
          </w:p>
        </w:tc>
        <w:tc>
          <w:tcPr>
            <w:tcW w:w="120" w:type="dxa"/>
            <w:vAlign w:val="bottom"/>
          </w:tcPr>
          <w:p>
            <w:pPr>
              <w:spacing w:after="0"/>
              <w:rPr>
                <w:sz w:val="20"/>
                <w:szCs w:val="20"/>
                <w:color w:val="auto"/>
              </w:rPr>
            </w:pPr>
          </w:p>
        </w:tc>
        <w:tc>
          <w:tcPr>
            <w:tcW w:w="6840" w:type="dxa"/>
            <w:vAlign w:val="bottom"/>
          </w:tcPr>
          <w:p>
            <w:pPr>
              <w:spacing w:after="0"/>
              <w:rPr>
                <w:sz w:val="20"/>
                <w:szCs w:val="20"/>
                <w:color w:val="auto"/>
              </w:rPr>
            </w:pPr>
          </w:p>
        </w:tc>
      </w:tr>
      <w:tr>
        <w:trPr>
          <w:trHeight w:val="637"/>
        </w:trPr>
        <w:tc>
          <w:tcPr>
            <w:tcW w:w="4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II-4</w:t>
            </w:r>
          </w:p>
        </w:tc>
      </w:tr>
    </w:tbl>
    <w:p>
      <w:pPr>
        <w:sectPr>
          <w:pgSz w:w="11900" w:h="16838" w:orient="portrait"/>
          <w:cols w:equalWidth="0" w:num="1">
            <w:col w:w="11240"/>
          </w:cols>
          <w:pgMar w:left="320" w:top="900"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authorized representative in the United States of America of Adlai Nortye Ltd., has signed this registration statement thereto in New York, United States of America on March 10, 2026.</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Adlai Nortye USA Inc.</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U.S. Representative</w:t>
      </w:r>
    </w:p>
    <w:p>
      <w:pPr>
        <w:spacing w:after="0" w:line="20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Yang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Yang Lu</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822960" cy="771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82296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Our ref</w:t>
      </w:r>
      <w:r>
        <w:rPr>
          <w:sz w:val="20"/>
          <w:szCs w:val="20"/>
          <w:color w:val="auto"/>
        </w:rPr>
        <w:tab/>
      </w:r>
      <w:r>
        <w:rPr>
          <w:rFonts w:ascii="Times New Roman" w:cs="Times New Roman" w:eastAsia="Times New Roman" w:hAnsi="Times New Roman"/>
          <w:sz w:val="17"/>
          <w:szCs w:val="17"/>
          <w:color w:val="auto"/>
        </w:rPr>
        <w:t>JVZ/744148-000006/85989348v1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Adlai Nortye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Ugland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KY1-1104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Adlai Nortye Ltd.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acted as Cayman Islands legal advisers to Adlai Nortye Ltd. (the "Company") in connection with the Company’s registration statement on Form F-3, including all amendments or supplements thereto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with the Securities and Exchange Commission under the U.S. Securities Act of 1933, as amended to date relating to (1) offering of up to US$ [600,000,000] of Class A ordinary shares of a par value of US$0.0001 each in the Company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Offer Shares</w:t>
      </w:r>
      <w:r>
        <w:rPr>
          <w:rFonts w:ascii="Times New Roman" w:cs="Times New Roman" w:eastAsia="Times New Roman" w:hAnsi="Times New Roman"/>
          <w:sz w:val="18"/>
          <w:szCs w:val="18"/>
          <w:color w:val="auto"/>
        </w:rPr>
        <w:t>"); and (2) the offer and resale by the selling securityholders named in the Registration Statement (the "</w:t>
      </w:r>
      <w:r>
        <w:rPr>
          <w:rFonts w:ascii="Times New Roman" w:cs="Times New Roman" w:eastAsia="Times New Roman" w:hAnsi="Times New Roman"/>
          <w:sz w:val="18"/>
          <w:szCs w:val="18"/>
          <w:b w:val="1"/>
          <w:bCs w:val="1"/>
          <w:color w:val="auto"/>
        </w:rPr>
        <w:t>Selling Securityholders</w:t>
      </w:r>
      <w:r>
        <w:rPr>
          <w:rFonts w:ascii="Times New Roman" w:cs="Times New Roman" w:eastAsia="Times New Roman" w:hAnsi="Times New Roman"/>
          <w:sz w:val="18"/>
          <w:szCs w:val="18"/>
          <w:color w:val="auto"/>
        </w:rPr>
        <w:t>") of up to [64,615,386] Class A Ordinary Shares (the "</w:t>
      </w:r>
      <w:r>
        <w:rPr>
          <w:rFonts w:ascii="Times New Roman" w:cs="Times New Roman" w:eastAsia="Times New Roman" w:hAnsi="Times New Roman"/>
          <w:sz w:val="18"/>
          <w:szCs w:val="18"/>
          <w:b w:val="1"/>
          <w:bCs w:val="1"/>
          <w:color w:val="auto"/>
        </w:rPr>
        <w:t>Resale Shares</w:t>
      </w:r>
      <w:r>
        <w:rPr>
          <w:rFonts w:ascii="Times New Roman" w:cs="Times New Roman" w:eastAsia="Times New Roman" w:hAnsi="Times New Roman"/>
          <w:sz w:val="18"/>
          <w:szCs w:val="18"/>
          <w:color w:val="auto"/>
        </w:rPr>
        <w:t>", together with the Offer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furnishing this opinion as Exhibits 5.1 [and 23.3] to the Registration Statement.</w:t>
      </w:r>
    </w:p>
    <w:p>
      <w:pPr>
        <w:spacing w:after="0" w:line="221"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Reviewed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this opinion, we have reviewed only originals, copies or final drafts of the following documents:</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The certificate of incorporation dated 9 May 2018 and the certificate of incorporation on adoption of dual foreign name dated 19 July 2021 issued by the Registrar of Companies in the Cayman Islands.</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The seventh amended and restated memorandum and articles of association of the Company adopted by a special resolution passed on 17 April 2023 and effective immediately prior to the completion of the Company’s initial public offering of American Depository Shares representing its Shares (the "</w:t>
      </w:r>
      <w:r>
        <w:rPr>
          <w:rFonts w:ascii="Times New Roman" w:cs="Times New Roman" w:eastAsia="Times New Roman" w:hAnsi="Times New Roman"/>
          <w:sz w:val="18"/>
          <w:szCs w:val="18"/>
          <w:b w:val="1"/>
          <w:bCs w:val="1"/>
          <w:color w:val="auto"/>
        </w:rPr>
        <w:t>Memorandum and Articles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The written resolutions of the board of directors of the Company dated [ ] 2026 (the "</w:t>
      </w:r>
      <w:r>
        <w:rPr>
          <w:rFonts w:ascii="Times New Roman" w:cs="Times New Roman" w:eastAsia="Times New Roman" w:hAnsi="Times New Roman"/>
          <w:sz w:val="17"/>
          <w:szCs w:val="17"/>
          <w:b w:val="1"/>
          <w:bCs w:val="1"/>
          <w:color w:val="auto"/>
        </w:rPr>
        <w:t>Resolutions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A certificate of good standing dated 2 February 2026, issued by the Registrar of Companies in the Cayman Islands (the "</w:t>
      </w:r>
      <w:r>
        <w:rPr>
          <w:rFonts w:ascii="Times New Roman" w:cs="Times New Roman" w:eastAsia="Times New Roman" w:hAnsi="Times New Roman"/>
          <w:sz w:val="18"/>
          <w:szCs w:val="18"/>
          <w:b w:val="1"/>
          <w:bCs w:val="1"/>
          <w:color w:val="auto"/>
        </w:rPr>
        <w:t>Certificate of Good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Standing</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A certificate from a director of the Company, a copy of which is attached hereto (the "</w:t>
      </w:r>
      <w:r>
        <w:rPr>
          <w:rFonts w:ascii="Times New Roman" w:cs="Times New Roman" w:eastAsia="Times New Roman" w:hAnsi="Times New Roman"/>
          <w:sz w:val="17"/>
          <w:szCs w:val="17"/>
          <w:b w:val="1"/>
          <w:bCs w:val="1"/>
          <w:color w:val="auto"/>
        </w:rPr>
        <w:t>Director's Certificate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as of the date of this opinion letter, of the Director's Certificate and the Certificate of Good Standing. We have also relied upon the following assumptions, which we have not independently verified:</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Copies of documents, conformed copies or drafts of documents provided to us are true and complete copies of, or in the final forms of, the originals.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All signatures, initials and seals are genuine.</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There is nothing contained in the minute book or corporate records of the Company (which, other than the records set out in paragraphs 1.1 to 1.4 of this opinion letter, we have not inspected) which would or might affect the opinions set out below.</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There is nothing under any law (other than the law of the Cayman Islands), which would or might affect the opinions set out below.</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No invitation has been or will be made by or on behalf of the Company to the public in the Cayman Islands to subscribe for any of the Shares.</w:t>
      </w:r>
    </w:p>
    <w:p>
      <w:pPr>
        <w:spacing w:after="0" w:line="221"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Based upon the foregoing assumptions and subject to the qualifications set out below and having regard to such legal considerations as we deem relevant, we are of the opinion that:</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Company has been duly incorporated as an exempted company with limited liability and is validly existing and in good standing with the Registrar of Companies under the laws of the Cayman Islands.</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authorised share capital of the Company is US$50,000 divided into 500,000,000 ordinary shares, compromising of (i) 434,709,000 Class A ordinary shares with a par value of US$0.0001 each, (ii) 16,990,000 Class B ordinary shares with a par value of US$0.0001 each, and (iii) 48,301,000 undesignated shares with a par value of US$0.0001 each.</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The issue and allotment of the Offer Shares have been duly authorised and when allotted, issued and paid for as contemplated in the Registration Statement, the Offer Shares will be legally issued and allotted, fully paid and non-assessable.</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The issue and allotment of the Resale Shares to be offered and sold by the Selling Securityholders as contemplated in the Registration Statement have been duly authorised. The Shares are legally issued and allotted and (assuming the purchase price therefor has been paid in full) fully paid and non-assessable. As a matter of Cayman Islands law, a share is only issued when it has been entered in the register of members (shareholders).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expressed above are subject to the following qualifications:</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To maintain the Company in good standing with the Registrar of Companies under the laws of the Cayman Islands, annual filing fees must be paid and returns made to the Registrar of Companies within the time frame prescribed by law.</w:t>
      </w:r>
    </w:p>
    <w:p>
      <w:pPr>
        <w:spacing w:after="0" w:line="158"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Under the Companies Act (As Revised) of the Cayman Islands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the register of members of a Cayman Islands company is by statute regarded as prima facie evidence of any matters which the Companies Act directs or authorises to be inserted in it. A third party interest in the shares in question would not appear. An entry in the register of members may yield to a court order for rectification (for example, in the event of fraud or manifest error).</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In this opinion the phrase "non-assessable" means, with respect to the Shares in the Company, that a shareholder shall not, solely by virtue of its status as a shareholder, and in absence of a contractual arrangement, or an obligation pursuant to the memorandum and articles of association, to the contrary,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The obligations of the Company may be subject to restrictions pursuant to:</w:t>
      </w:r>
    </w:p>
    <w:p>
      <w:pPr>
        <w:spacing w:after="0" w:line="225"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Nations and United Kingdom sanctions extended to the Cayman Islands by Orders in Council;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imposed by Cayman Islands authorities under Cayman Islands legislation.</w:t>
      </w:r>
    </w:p>
    <w:p>
      <w:pPr>
        <w:spacing w:after="0" w:line="225"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We express no opinion as to the meaning, validity or effect of any references to foreign (i.e. non-Cayman Islands) statutes, rules, regulations, codes, judicial authority or any other promulgations and any references to them in the Securities Purchase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which are the subject of this opinion.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 to our name under the headings "Enforceability of Civil Liabilities" and "Legal Matters" and elsewhere in the prospectus included in the Registration Statement. In giving such consent, we do not thereby admit that we come within the category of persons whose consent is required under Section 7 of the U.S. Securities Act of 1933, as amended, or the Rules and Regulations of the Securities and Exchange Commission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Director's Certificate</w:t>
      </w:r>
    </w:p>
    <w:p>
      <w:pPr>
        <w:sectPr>
          <w:pgSz w:w="11900" w:h="16838" w:orient="portrait"/>
          <w:cols w:equalWidth="0" w:num="1">
            <w:col w:w="9019"/>
          </w:cols>
          <w:pgMar w:left="1440" w:top="9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33020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F-3</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Adlai Nortye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60" w:type="dxa"/>
            <w:vAlign w:val="bottom"/>
          </w:tcPr>
          <w:p>
            <w:pPr>
              <w:spacing w:after="0"/>
              <w:rPr>
                <w:sz w:val="12"/>
                <w:szCs w:val="12"/>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00" w:type="dxa"/>
            <w:vAlign w:val="bottom"/>
            <w:vMerge w:val="restart"/>
          </w:tcPr>
          <w:p>
            <w:pPr>
              <w:spacing w:after="0"/>
              <w:rPr>
                <w:sz w:val="12"/>
                <w:szCs w:val="12"/>
                <w:color w:val="auto"/>
              </w:rPr>
            </w:pPr>
          </w:p>
        </w:tc>
        <w:tc>
          <w:tcPr>
            <w:tcW w:w="14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20" w:type="dxa"/>
            <w:vAlign w:val="bottom"/>
            <w:vMerge w:val="restart"/>
          </w:tcPr>
          <w:p>
            <w:pPr>
              <w:spacing w:after="0"/>
              <w:rPr>
                <w:sz w:val="12"/>
                <w:szCs w:val="12"/>
                <w:color w:val="auto"/>
              </w:rPr>
            </w:pP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vMerge w:val="restart"/>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vMerge w:val="restart"/>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6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9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2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00" w:type="dxa"/>
            <w:vAlign w:val="bottom"/>
          </w:tcPr>
          <w:p>
            <w:pPr>
              <w:spacing w:after="0"/>
              <w:rPr>
                <w:sz w:val="15"/>
                <w:szCs w:val="15"/>
                <w:color w:val="auto"/>
              </w:rPr>
            </w:pPr>
          </w:p>
        </w:tc>
        <w:tc>
          <w:tcPr>
            <w:tcW w:w="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Unit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6"/>
          </w:tcPr>
          <w:p>
            <w:pPr>
              <w:ind w:left="120"/>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Ordinary</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$ 600,000,000.00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0.0001381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82,860.00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par value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$0.0001 per share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represented by</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Depositary Shares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(Primary Offering)</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Ordinary</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1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21,538,462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8.56</w:t>
            </w: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$ 184,369,234.72</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0.0001381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25,461.39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represented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American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Depositary Shares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(Secondary</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Offering)</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960" w:type="dxa"/>
            <w:vAlign w:val="bottom"/>
            <w:gridSpan w:val="7"/>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Total Offering Amounts:</w:t>
            </w:r>
          </w:p>
        </w:tc>
        <w:tc>
          <w:tcPr>
            <w:tcW w:w="124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60" w:type="dxa"/>
            <w:vAlign w:val="bottom"/>
            <w:gridSpan w:val="7"/>
            <w:vMerge w:val="continue"/>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$ 784,369,234.72</w:t>
            </w:r>
          </w:p>
        </w:tc>
        <w:tc>
          <w:tcPr>
            <w:tcW w:w="1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8"/>
              </w:rPr>
              <w:t>108,321.39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Total Fee Offsets:</w:t>
            </w: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Net Fee Due:</w:t>
            </w: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108,321.39</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ind w:left="360" w:right="20" w:hanging="292"/>
        <w:spacing w:after="0" w:line="282" w:lineRule="auto"/>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computing the amount of the registration fee pursuant to Rule 457(o) under the Securities Act of 1933, as amended.</w:t>
      </w:r>
    </w:p>
    <w:p>
      <w:pPr>
        <w:spacing w:after="0" w:line="53" w:lineRule="exact"/>
        <w:rPr>
          <w:rFonts w:ascii="Times New Roman" w:cs="Times New Roman" w:eastAsia="Times New Roman" w:hAnsi="Times New Roman"/>
          <w:sz w:val="18"/>
          <w:szCs w:val="18"/>
          <w:color w:val="auto"/>
        </w:rPr>
      </w:pPr>
    </w:p>
    <w:p>
      <w:pPr>
        <w:jc w:val="both"/>
        <w:ind w:left="360" w:hanging="292"/>
        <w:spacing w:after="0" w:line="258" w:lineRule="auto"/>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consideration to be received by the Registrant, if applicable, for registered securities that are issuable upon exercise, conversion, or exchange of other registered securities. Pursuant to Rule 457(c) under the Securities Act, and solely for the purpose of calculating the registration fee, the proposed maximum offering price is $8.56, which is the average of the high and low prices of the registrant’s ordinary shares on March 6, 2026 (such date being within five business days of the date that this registration statement was first filed with the Securities and Exchange Commission (the “SEC”) on Nasdaq.</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lowerRoman"/>
      <w:start w:val="1"/>
    </w:lvl>
  </w:abstractNum>
  <w:abstractNum w:abstractNumId="2">
    <w:nsid w:val="257130A3"/>
    <w:multiLevelType w:val="hybridMultilevel"/>
    <w:lvl w:ilvl="0">
      <w:lvlJc w:val="left"/>
      <w:lvlText w:val="●"/>
      <w:numFmt w:val="bullet"/>
      <w:start w:val="1"/>
    </w:lvl>
    <w:lvl w:ilvl="1">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lowerLetter"/>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3"/>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3">
    <w:nsid w:val="8138641"/>
    <w:multiLevelType w:val="hybridMultilevel"/>
    <w:lvl w:ilvl="0">
      <w:lvlJc w:val="left"/>
      <w:lvlText w:val="(%1)"/>
      <w:numFmt w:val="lowerRoman"/>
      <w:start w:val="3"/>
    </w:lvl>
  </w:abstractNum>
  <w:abstractNum w:abstractNumId="24">
    <w:nsid w:val="1E7FF521"/>
    <w:multiLevelType w:val="hybridMultilevel"/>
    <w:lvl w:ilvl="0">
      <w:lvlJc w:val="left"/>
      <w:lvlText w:val="(%1)"/>
      <w:numFmt w:val="decimal"/>
      <w:start w:val="2"/>
    </w:lvl>
  </w:abstractNum>
  <w:abstractNum w:abstractNumId="25">
    <w:nsid w:val="7C3DBD3D"/>
    <w:multiLevelType w:val="hybridMultilevel"/>
    <w:lvl w:ilvl="0">
      <w:lvlJc w:val="left"/>
      <w:lvlText w:val="(%1)"/>
      <w:numFmt w:val="decimal"/>
      <w:start w:val="3"/>
    </w:lvl>
  </w:abstractNum>
  <w:abstractNum w:abstractNumId="26">
    <w:nsid w:val="737B8DD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7">
    <w:nsid w:val="6CEAF087"/>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28">
    <w:nsid w:val="22221A70"/>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bullet"/>
      <w:start w:val="1"/>
    </w:lvl>
  </w:abstractNum>
  <w:abstractNum w:abstractNumId="31">
    <w:nsid w:val="614FD4A1"/>
    <w:multiLevelType w:val="hybridMultilevel"/>
    <w:lvl w:ilvl="0">
      <w:lvlJc w:val="left"/>
      <w:lvlText w:val="2"/>
      <w:numFmt w:val="bullet"/>
      <w:start w:val="1"/>
    </w:lvl>
  </w:abstractNum>
  <w:abstractNum w:abstractNumId="32">
    <w:nsid w:val="419AC241"/>
    <w:multiLevelType w:val="hybridMultilevel"/>
    <w:lvl w:ilvl="0">
      <w:lvlJc w:val="left"/>
      <w:lvlText w:val="3"/>
      <w:numFmt w:val="bullet"/>
      <w:start w:val="1"/>
    </w:lvl>
  </w:abstractNum>
  <w:abstractNum w:abstractNumId="33">
    <w:nsid w:val="5577F8E1"/>
    <w:multiLevelType w:val="hybridMultilevel"/>
    <w:lvl w:ilvl="0">
      <w:lvlJc w:val="left"/>
      <w:lvlText w:val="4"/>
      <w:numFmt w:val="bullet"/>
      <w:start w:val="1"/>
    </w:lvl>
  </w:abstractNum>
  <w:abstractNum w:abstractNumId="34">
    <w:nsid w:val="440BADFC"/>
    <w:multiLevelType w:val="hybridMultilevel"/>
    <w:lvl w:ilvl="0">
      <w:lvlJc w:val="left"/>
      <w:lvlText w:val="(%1)"/>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jpe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19" Type="http://schemas.openxmlformats.org/officeDocument/2006/relationships/hyperlink" Target="https://www.sec.gov/Archives/edgar/data/1944552/000121390025041663/ea0241374-20fa1_adlai.htm#a_006" TargetMode="External"/><Relationship Id="rId37" Type="http://schemas.openxmlformats.org/officeDocument/2006/relationships/hyperlink" Target="https://www.sec.gov/Archives/edgar/data/1944552/000121390025041663/ea0241374-20fa1_adlai.htm#a_007" TargetMode="External"/><Relationship Id="rId56" Type="http://schemas.openxmlformats.org/officeDocument/2006/relationships/hyperlink" Target="https://www.sec.gov/Archives/edgar/data/1944552/000121390025041663/ea0241374-20fa1_adlai.htm#a_014" TargetMode="External"/><Relationship Id="rId59" Type="http://schemas.openxmlformats.org/officeDocument/2006/relationships/hyperlink" Target="http://www.sec.gov/Archives/edgar/data/1944552/000121390025037591/ea0238606-20f_adlai.htm" TargetMode="External"/><Relationship Id="rId60" Type="http://schemas.openxmlformats.org/officeDocument/2006/relationships/hyperlink" Target="http://www.sec.gov/Archives/edgar/data/1944552/000121390025041663/ea0241374-20fa1_adlai.htm" TargetMode="External"/><Relationship Id="rId61" Type="http://schemas.openxmlformats.org/officeDocument/2006/relationships/hyperlink" Target="http://www.sec.gov/Archives/edgar/data/1944552/000121390025049136/ea0243792-6k_adlai.htm" TargetMode="External"/><Relationship Id="rId62" Type="http://schemas.openxmlformats.org/officeDocument/2006/relationships/hyperlink" Target="http://www.sec.gov/Archives/edgar/data/1944552/000121390025062214/ea0248406-6k_adlai.htm" TargetMode="External"/><Relationship Id="rId63" Type="http://schemas.openxmlformats.org/officeDocument/2006/relationships/hyperlink" Target="http://www.sec.gov/Archives/edgar/data/1944552/000121390025101287/ea0262091-6k_adlai.htm" TargetMode="External"/><Relationship Id="rId64" Type="http://schemas.openxmlformats.org/officeDocument/2006/relationships/hyperlink" Target="http://www.sec.gov/Archives/edgar/data/1944552/000121390025117538/ea0268312-6k_adlai.htm" TargetMode="External"/><Relationship Id="rId65" Type="http://schemas.openxmlformats.org/officeDocument/2006/relationships/hyperlink" Target="http://www.sec.gov/Archives/edgar/data/1944552/000121390025125572/ea0270767-6k_adlai.htm" TargetMode="External"/><Relationship Id="rId66" Type="http://schemas.openxmlformats.org/officeDocument/2006/relationships/hyperlink" Target="http://www.sec.gov/Archives/edgar/data/1944552/000121390026011492/ea0275263-6k_adlai.htm" TargetMode="External"/><Relationship Id="rId67" Type="http://schemas.openxmlformats.org/officeDocument/2006/relationships/hyperlink" Target="http://www.sec.gov/Archives/edgar/data/1944552/000121390026015163/ea0276764-6k_adlai.htm" TargetMode="External"/><Relationship Id="rId68" Type="http://schemas.openxmlformats.org/officeDocument/2006/relationships/hyperlink" Target="http://www.sec.gov/Archives/edgar/data/1944552/000110465923093373/tm2225088d37_8a12b.htm" TargetMode="External"/><Relationship Id="rId69" Type="http://schemas.openxmlformats.org/officeDocument/2006/relationships/hyperlink" Target="http://www.sec.gov/Archives/edgar/data/1944552/000110465923084478/tm2225088-21_f1.htm" TargetMode="External"/><Relationship Id="rId70" Type="http://schemas.openxmlformats.org/officeDocument/2006/relationships/hyperlink" Target="http://www.sec.gov/ix?doc=/Archives/edgar/data/1944552/000121390025041663/ea0241374-20fa1_adlai.htm" TargetMode="External"/><Relationship Id="rId76" Type="http://schemas.openxmlformats.org/officeDocument/2006/relationships/hyperlink" Target="http://www.sec.gov/Archives/edgar/data/1944552/000110465923089790/tm2225088d26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2026-03-10T07:49:34Z</dcterms:created>
  <dcterms:modified xsi:type="dcterms:W3CDTF">2026-03-10T07:49:34Z</dcterms:modified>
</cp:coreProperties>
</file>