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month of April 2026</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001-41773</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Adlai Nortye Ltd.</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 PO Box 309, Ugland House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Grand Cayman, KY1-1104</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620"/>
        <w:spacing w:after="0" w:line="184" w:lineRule="exact"/>
        <w:tabs>
          <w:tab w:leader="none" w:pos="57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20-F</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440055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Content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April 16, 2026, the Company issued a press release announcing the pricing of its private placement, which is furnished as Exhibit 99.1 to this report on Form 6-K (this “Report”). A form of the securities purchase agreement entered into in connection with the private placement and the Company’s corporate presentation are attached hereto as Exhibit 10.1 and Exhibit 99.1 to this Report.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Adlai Nortye Ltd.</w:t>
      </w:r>
    </w:p>
    <w:p>
      <w:pPr>
        <w:spacing w:after="0" w:line="200"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Yang Lu</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Yang Lu</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 and Chairman of Board of Directors</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16, 2026</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6-K Exhibit Index</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Exhibits</w:t>
            </w:r>
          </w:p>
        </w:tc>
        <w:tc>
          <w:tcPr>
            <w:tcW w:w="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760" w:type="dxa"/>
            <w:vAlign w:val="bottom"/>
          </w:tcPr>
          <w:p>
            <w:pPr>
              <w:spacing w:after="0"/>
              <w:rPr>
                <w:sz w:val="18"/>
                <w:szCs w:val="18"/>
                <w:color w:val="auto"/>
              </w:rPr>
            </w:pPr>
          </w:p>
        </w:tc>
      </w:tr>
      <w:tr>
        <w:trPr>
          <w:trHeight w:val="39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Exhibit No.</w:t>
            </w:r>
          </w:p>
        </w:tc>
        <w:tc>
          <w:tcPr>
            <w:tcW w:w="1024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Description</w:t>
            </w:r>
          </w:p>
        </w:tc>
      </w:tr>
      <w:tr>
        <w:trPr>
          <w:trHeight w:val="171"/>
        </w:trPr>
        <w:tc>
          <w:tcPr>
            <w:tcW w:w="102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540" w:type="dxa"/>
            <w:vAlign w:val="bottom"/>
            <w:tcBorders>
              <w:top w:val="single" w:sz="8" w:color="auto"/>
              <w:bottom w:val="single" w:sz="8" w:color="0000EE"/>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8"/>
              </w:rPr>
              <w:t>Form of Securities Purchase Agreement</w:t>
            </w:r>
          </w:p>
        </w:tc>
        <w:tc>
          <w:tcPr>
            <w:tcW w:w="7580" w:type="dxa"/>
            <w:vAlign w:val="bottom"/>
            <w:tcBorders>
              <w:top w:val="single" w:sz="8" w:color="auto"/>
              <w:bottom w:val="single" w:sz="8" w:color="CCEEFF"/>
            </w:tcBorders>
            <w:gridSpan w:val="2"/>
            <w:shd w:val="clear" w:color="auto" w:fill="CCEEFF"/>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0240" w:type="dxa"/>
            <w:vAlign w:val="bottom"/>
            <w:gridSpan w:val="4"/>
          </w:tcPr>
          <w:p>
            <w:pPr>
              <w:ind w:left="120"/>
              <w:spacing w:after="0" w:line="155" w:lineRule="exact"/>
              <w:rPr>
                <w:sz w:val="20"/>
                <w:szCs w:val="20"/>
                <w:color w:val="auto"/>
              </w:rPr>
            </w:pPr>
            <w:r>
              <w:rPr>
                <w:rFonts w:ascii="Times New Roman" w:cs="Times New Roman" w:eastAsia="Times New Roman" w:hAnsi="Times New Roman"/>
                <w:sz w:val="16"/>
                <w:szCs w:val="16"/>
                <w:color w:val="0000EE"/>
              </w:rPr>
              <w:t>Press Release of the Registrant, dated April 16, 2026</w:t>
            </w:r>
          </w:p>
        </w:tc>
      </w:tr>
      <w:tr>
        <w:trPr>
          <w:trHeight w:val="28"/>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6760" w:type="dxa"/>
            <w:vAlign w:val="bottom"/>
          </w:tcPr>
          <w:p>
            <w:pPr>
              <w:spacing w:after="0"/>
              <w:rPr>
                <w:sz w:val="2"/>
                <w:szCs w:val="2"/>
                <w:color w:val="auto"/>
              </w:rPr>
            </w:pPr>
          </w:p>
        </w:tc>
      </w:tr>
      <w:tr>
        <w:trPr>
          <w:trHeight w:val="163"/>
        </w:trPr>
        <w:tc>
          <w:tcPr>
            <w:tcW w:w="10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shd w:val="clear" w:color="auto" w:fill="CCEEFF"/>
          </w:tcPr>
          <w:p>
            <w:pPr>
              <w:ind w:left="120"/>
              <w:spacing w:after="0" w:line="163" w:lineRule="exact"/>
              <w:rPr>
                <w:sz w:val="20"/>
                <w:szCs w:val="20"/>
                <w:color w:val="auto"/>
              </w:rPr>
            </w:pPr>
            <w:r>
              <w:rPr>
                <w:rFonts w:ascii="Times New Roman" w:cs="Times New Roman" w:eastAsia="Times New Roman" w:hAnsi="Times New Roman"/>
                <w:sz w:val="16"/>
                <w:szCs w:val="16"/>
                <w:color w:val="0000EE"/>
              </w:rPr>
              <w:t>Adlai Nortye Ltd. April 2026 Corporate Presentation</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54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6760" w:type="dxa"/>
            <w:vAlign w:val="bottom"/>
            <w:shd w:val="clear" w:color="auto" w:fill="CCEEFF"/>
          </w:tcPr>
          <w:p>
            <w:pPr>
              <w:spacing w:after="0"/>
              <w:rPr>
                <w:sz w:val="3"/>
                <w:szCs w:val="3"/>
                <w:color w:val="auto"/>
              </w:rPr>
            </w:pP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Execution Version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PURCHASE AGREEMENT</w:t>
      </w:r>
    </w:p>
    <w:p>
      <w:pPr>
        <w:spacing w:after="0" w:line="198"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color w:val="auto"/>
        </w:rPr>
        <w:t>This Securities Purchase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dated as of April 16, 2026, between Adlai Nortye Ltd., an exempted company incorporated in the Cayman Islands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each of the purchasers listed on the signature pages hereto, together with their permitted successors and assigns (each, a “</w:t>
      </w:r>
      <w:r>
        <w:rPr>
          <w:rFonts w:ascii="Times New Roman" w:cs="Times New Roman" w:eastAsia="Times New Roman" w:hAnsi="Times New Roman"/>
          <w:sz w:val="16"/>
          <w:szCs w:val="16"/>
          <w:b w:val="1"/>
          <w:bCs w:val="1"/>
          <w:color w:val="auto"/>
        </w:rPr>
        <w:t>Purchaser</w:t>
      </w:r>
      <w:r>
        <w:rPr>
          <w:rFonts w:ascii="Times New Roman" w:cs="Times New Roman" w:eastAsia="Times New Roman" w:hAnsi="Times New Roman"/>
          <w:sz w:val="16"/>
          <w:szCs w:val="16"/>
          <w:color w:val="auto"/>
        </w:rPr>
        <w:t>” and collectively, the “</w:t>
      </w:r>
      <w:r>
        <w:rPr>
          <w:rFonts w:ascii="Times New Roman" w:cs="Times New Roman" w:eastAsia="Times New Roman" w:hAnsi="Times New Roman"/>
          <w:sz w:val="16"/>
          <w:szCs w:val="16"/>
          <w:b w:val="1"/>
          <w:bCs w:val="1"/>
          <w:color w:val="auto"/>
        </w:rPr>
        <w:t>Purchasers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jc w:val="both"/>
        <w:ind w:right="20" w:firstLine="287"/>
        <w:spacing w:after="0" w:line="265" w:lineRule="auto"/>
        <w:rPr>
          <w:sz w:val="20"/>
          <w:szCs w:val="20"/>
          <w:color w:val="auto"/>
        </w:rPr>
      </w:pPr>
      <w:r>
        <w:rPr>
          <w:rFonts w:ascii="Times New Roman" w:cs="Times New Roman" w:eastAsia="Times New Roman" w:hAnsi="Times New Roman"/>
          <w:sz w:val="16"/>
          <w:szCs w:val="16"/>
          <w:color w:val="auto"/>
        </w:rPr>
        <w:t>WHEREAS, subject to the terms and conditions set forth in this Agreement and pursuant to Section 4(a)(2) of the Securities Act (as defined below), the Company desires to issue and sell to the Purchasers, and the Purchasers, severally and not jointly, desire to purchase from the Company, shares of the Company as more fully described in this Agreement.</w:t>
      </w:r>
    </w:p>
    <w:p>
      <w:pPr>
        <w:spacing w:after="0" w:line="155" w:lineRule="exact"/>
        <w:rPr>
          <w:sz w:val="20"/>
          <w:szCs w:val="20"/>
          <w:color w:val="auto"/>
        </w:rPr>
      </w:pPr>
    </w:p>
    <w:p>
      <w:pPr>
        <w:jc w:val="both"/>
        <w:ind w:firstLine="287"/>
        <w:spacing w:after="0" w:line="280" w:lineRule="auto"/>
        <w:rPr>
          <w:sz w:val="20"/>
          <w:szCs w:val="20"/>
          <w:color w:val="auto"/>
        </w:rPr>
      </w:pPr>
      <w:r>
        <w:rPr>
          <w:rFonts w:ascii="Times New Roman" w:cs="Times New Roman" w:eastAsia="Times New Roman" w:hAnsi="Times New Roman"/>
          <w:sz w:val="16"/>
          <w:szCs w:val="16"/>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DEFINITIONS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1.1. </w:t>
      </w:r>
      <w:r>
        <w:rPr>
          <w:rFonts w:ascii="Times New Roman" w:cs="Times New Roman" w:eastAsia="Times New Roman" w:hAnsi="Times New Roman"/>
          <w:sz w:val="16"/>
          <w:szCs w:val="16"/>
          <w:i w:val="1"/>
          <w:iCs w:val="1"/>
          <w:color w:val="auto"/>
        </w:rPr>
        <w:t>Definitions</w:t>
      </w:r>
      <w:r>
        <w:rPr>
          <w:rFonts w:ascii="Times New Roman" w:cs="Times New Roman" w:eastAsia="Times New Roman" w:hAnsi="Times New Roman"/>
          <w:sz w:val="16"/>
          <w:szCs w:val="16"/>
          <w:color w:val="auto"/>
        </w:rPr>
        <w:t>. In addition to the terms defined elsewhere in this Agreement, for all purposes of this Agreement, the following terms have the meanings set forth in this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ADS</w:t>
      </w:r>
      <w:r>
        <w:rPr>
          <w:rFonts w:ascii="Times New Roman" w:cs="Times New Roman" w:eastAsia="Times New Roman" w:hAnsi="Times New Roman"/>
          <w:sz w:val="16"/>
          <w:szCs w:val="16"/>
          <w:color w:val="auto"/>
        </w:rPr>
        <w:t>” means American depositary shares, each of which represents three (3) Ordinary Shares, subject to adjustment for reverse and forward share splits, share dividends, share combinations and other similar transactions of the ADSs and/or the Ordinary Shares, as applicable, that occurs after the date of this Agreement.</w:t>
      </w:r>
    </w:p>
    <w:p>
      <w:pPr>
        <w:spacing w:after="0" w:line="140"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Affiliate</w:t>
      </w:r>
      <w:r>
        <w:rPr>
          <w:rFonts w:ascii="Times New Roman" w:cs="Times New Roman" w:eastAsia="Times New Roman" w:hAnsi="Times New Roman"/>
          <w:sz w:val="16"/>
          <w:szCs w:val="16"/>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 of Directors</w:t>
      </w:r>
      <w:r>
        <w:rPr>
          <w:rFonts w:ascii="Times New Roman" w:cs="Times New Roman" w:eastAsia="Times New Roman" w:hAnsi="Times New Roman"/>
          <w:sz w:val="16"/>
          <w:szCs w:val="16"/>
          <w:color w:val="auto"/>
        </w:rPr>
        <w:t>” means the board of directors of the Company.</w:t>
      </w:r>
    </w:p>
    <w:p>
      <w:pPr>
        <w:spacing w:after="0" w:line="198" w:lineRule="exact"/>
        <w:rPr>
          <w:sz w:val="20"/>
          <w:szCs w:val="20"/>
          <w:color w:val="auto"/>
        </w:rPr>
      </w:pPr>
    </w:p>
    <w:p>
      <w:pPr>
        <w:jc w:val="both"/>
        <w:ind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Business Day</w:t>
      </w:r>
      <w:r>
        <w:rPr>
          <w:rFonts w:ascii="Times New Roman" w:cs="Times New Roman" w:eastAsia="Times New Roman" w:hAnsi="Times New Roman"/>
          <w:sz w:val="16"/>
          <w:szCs w:val="16"/>
          <w:color w:val="auto"/>
        </w:rPr>
        <w:t>” means any day other than Saturday, Sunday or other day on which commercial banks in The City of New York are authorized or required by law to remain closed.</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w:t>
      </w:r>
      <w:r>
        <w:rPr>
          <w:rFonts w:ascii="Times New Roman" w:cs="Times New Roman" w:eastAsia="Times New Roman" w:hAnsi="Times New Roman"/>
          <w:sz w:val="16"/>
          <w:szCs w:val="16"/>
          <w:color w:val="auto"/>
        </w:rPr>
        <w:t xml:space="preserve">” means the closing of the purchase and sale of the Shares pursuant to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Closing Date</w:t>
      </w:r>
      <w:r>
        <w:rPr>
          <w:rFonts w:ascii="Times New Roman" w:cs="Times New Roman" w:eastAsia="Times New Roman" w:hAnsi="Times New Roman"/>
          <w:sz w:val="16"/>
          <w:szCs w:val="16"/>
          <w:color w:val="auto"/>
        </w:rPr>
        <w:t>” means the Trading Day when all of the Transaction Documents have been executed and delivered by the applicable parties thereto, and all of the conditions set forth in Sections 2.3 hereof are satisfied or waived, as the case may be, or such other date as the parties may agree.</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Commission</w:t>
      </w:r>
      <w:r>
        <w:rPr>
          <w:rFonts w:ascii="Times New Roman" w:cs="Times New Roman" w:eastAsia="Times New Roman" w:hAnsi="Times New Roman"/>
          <w:sz w:val="16"/>
          <w:szCs w:val="16"/>
          <w:color w:val="auto"/>
        </w:rPr>
        <w:t>” means the United States Securities and Exchange Commission.</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Cayman Counsel</w:t>
      </w:r>
      <w:r>
        <w:rPr>
          <w:rFonts w:ascii="Times New Roman" w:cs="Times New Roman" w:eastAsia="Times New Roman" w:hAnsi="Times New Roman"/>
          <w:sz w:val="16"/>
          <w:szCs w:val="16"/>
          <w:color w:val="auto"/>
        </w:rPr>
        <w:t>” means Maples and Calder (Hong Kong) LLP.</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 U.S. Counsel</w:t>
      </w:r>
      <w:r>
        <w:rPr>
          <w:rFonts w:ascii="Times New Roman" w:cs="Times New Roman" w:eastAsia="Times New Roman" w:hAnsi="Times New Roman"/>
          <w:sz w:val="16"/>
          <w:szCs w:val="16"/>
          <w:color w:val="auto"/>
        </w:rPr>
        <w:t>” means Han Kun Law Offices LLP.</w:t>
      </w:r>
    </w:p>
    <w:p>
      <w:pPr>
        <w:spacing w:after="0" w:line="198"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Company’s Knowledge</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Knowledge</w:t>
      </w:r>
      <w:r>
        <w:rPr>
          <w:rFonts w:ascii="Times New Roman" w:cs="Times New Roman" w:eastAsia="Times New Roman" w:hAnsi="Times New Roman"/>
          <w:sz w:val="16"/>
          <w:szCs w:val="16"/>
          <w:color w:val="auto"/>
        </w:rPr>
        <w:t>” means with respect to any statement made to the Company’s Knowledge, that the statement is based upon the knowledge, after due inquiry, of the executive officers of the Company having responsibility for the matter or matters that are the subject of the statement.</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Cooley</w:t>
      </w:r>
      <w:r>
        <w:rPr>
          <w:rFonts w:ascii="Times New Roman" w:cs="Times New Roman" w:eastAsia="Times New Roman" w:hAnsi="Times New Roman"/>
          <w:sz w:val="16"/>
          <w:szCs w:val="16"/>
          <w:color w:val="auto"/>
        </w:rPr>
        <w:t>” means Cooley LLP, counsel to the Placement Agents, with offices located at 3 Embarcadero Center, 20th Floor, San Francisco, CA 94111-40004.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 w:name="page6"/>
    <w:bookmarkEnd w:id="5"/>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Depositary</w:t>
      </w:r>
      <w:r>
        <w:rPr>
          <w:rFonts w:ascii="Times New Roman" w:cs="Times New Roman" w:eastAsia="Times New Roman" w:hAnsi="Times New Roman"/>
          <w:sz w:val="16"/>
          <w:szCs w:val="16"/>
          <w:color w:val="auto"/>
        </w:rPr>
        <w:t>” means The Bank of New York Mellon.</w:t>
      </w:r>
    </w:p>
    <w:p>
      <w:pPr>
        <w:spacing w:after="0" w:line="198" w:lineRule="exact"/>
        <w:rPr>
          <w:sz w:val="20"/>
          <w:szCs w:val="20"/>
          <w:color w:val="auto"/>
        </w:rPr>
      </w:pPr>
    </w:p>
    <w:p>
      <w:pPr>
        <w:jc w:val="both"/>
        <w:ind w:firstLine="287"/>
        <w:spacing w:after="0" w:line="260"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Disclosure Time</w:t>
      </w:r>
      <w:r>
        <w:rPr>
          <w:rFonts w:ascii="Times New Roman" w:cs="Times New Roman" w:eastAsia="Times New Roman" w:hAnsi="Times New Roman"/>
          <w:sz w:val="16"/>
          <w:szCs w:val="16"/>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Agents, and (ii) if this Agreement is signed between midnight (New York City time) and 9:00 a.m. (New York City time) on any Trading Day, no later than 9:01 a.m. (New York City time) on the date hereof, unless otherwise instructed as to an earlier time by the Placement Agents.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means The Depository Trust Company.</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Engagement Letter</w:t>
      </w:r>
      <w:r>
        <w:rPr>
          <w:rFonts w:ascii="Times New Roman" w:cs="Times New Roman" w:eastAsia="Times New Roman" w:hAnsi="Times New Roman"/>
          <w:sz w:val="16"/>
          <w:szCs w:val="16"/>
          <w:color w:val="auto"/>
        </w:rPr>
        <w:t>” means the Engagement Letter by and between the Company and the Placement Agents, dated April 15, 2026.</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means the Securities Exchange Act of 1934, as amended, and the rules and regulations promulgated thereunder.</w:t>
      </w:r>
    </w:p>
    <w:p>
      <w:pPr>
        <w:spacing w:after="0" w:line="198" w:lineRule="exact"/>
        <w:rPr>
          <w:sz w:val="20"/>
          <w:szCs w:val="20"/>
          <w:color w:val="auto"/>
        </w:rPr>
      </w:pPr>
    </w:p>
    <w:p>
      <w:pPr>
        <w:jc w:val="both"/>
        <w:ind w:firstLine="287"/>
        <w:spacing w:after="0" w:line="25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Exempt Issuance</w:t>
      </w:r>
      <w:r>
        <w:rPr>
          <w:rFonts w:ascii="Times New Roman" w:cs="Times New Roman" w:eastAsia="Times New Roman" w:hAnsi="Times New Roman"/>
          <w:sz w:val="16"/>
          <w:szCs w:val="16"/>
          <w:color w:val="auto"/>
        </w:rPr>
        <w:t xml:space="preserve">” means the issuance of (a) shares of Ordinary Share, options, restricted stock units or other equity awards to employees, officers, directors or consultants of the Company pursuant to any stock or option plan duly adopted for such purpose, by a majority of the non-employee members of the board of directors of the Company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Ordinary Share issued and outstanding on the date of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such securities have not been amended, nor repriced, since the date of this Agreement to increase the number of such securities or to decrease the exercise price, exchange price or conversion price of such securities or to extend the term of such securities, (c) securities issued in connection with any debt financing transaction or royalty financing transaction and (d) securities issued pursuant to acquisitions or strategic transactions approved by a majority of the disinterested directors of the Company, provided that such securities are issued as “restricted securities” (as defined in Rule 144) and carry no registration rights that require the filing of any registration statement in connection therewith during the prohibition period in </w:t>
      </w:r>
      <w:r>
        <w:rPr>
          <w:rFonts w:ascii="Times New Roman" w:cs="Times New Roman" w:eastAsia="Times New Roman" w:hAnsi="Times New Roman"/>
          <w:sz w:val="16"/>
          <w:szCs w:val="16"/>
          <w:u w:val="single" w:color="auto"/>
          <w:color w:val="auto"/>
        </w:rPr>
        <w:t>Section 5.12</w:t>
      </w:r>
      <w:r>
        <w:rPr>
          <w:rFonts w:ascii="Times New Roman" w:cs="Times New Roman" w:eastAsia="Times New Roman" w:hAnsi="Times New Roman"/>
          <w:sz w:val="16"/>
          <w:szCs w:val="16"/>
          <w:color w:val="auto"/>
        </w:rPr>
        <w:t xml:space="preserve"> herein, and provided that any such issuance shall only be to a person (or to the equityholders of a person) which is, itself or through its subsidiaries, an operating company or an owner of an asset in a business that shall provide to the Company additional benefits in addition to the investment of funds (if any), but shall not include a transaction in which the Company is issuing securities primarily for the purpose of raising capital or to an entity whose primary business is investing in securities.</w:t>
      </w:r>
    </w:p>
    <w:p>
      <w:pPr>
        <w:spacing w:after="0" w:line="167" w:lineRule="exact"/>
        <w:rPr>
          <w:sz w:val="20"/>
          <w:szCs w:val="20"/>
          <w:color w:val="auto"/>
        </w:rPr>
      </w:pPr>
    </w:p>
    <w:p>
      <w:pPr>
        <w:jc w:val="both"/>
        <w:ind w:right="20" w:firstLine="287"/>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Force Majeure Event</w:t>
      </w:r>
      <w:r>
        <w:rPr>
          <w:rFonts w:ascii="Times New Roman" w:cs="Times New Roman" w:eastAsia="Times New Roman" w:hAnsi="Times New Roman"/>
          <w:sz w:val="16"/>
          <w:szCs w:val="16"/>
          <w:color w:val="auto"/>
        </w:rPr>
        <w:t>” means any occurrence or contingency beyond a party’s reasonable control, including, but not limited to, acts of God, pandemic, epidemic, earthquake, fire, labor disputes and strikes, riots, war, acts of terrorism, common carrier interruptions, network interruptions, breakdown in facilities and governmental requirements, government shutdowns and the acts or omissions of a third party that is not an Affiliate of the impacted party.</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IFRA</w:t>
      </w:r>
      <w:r>
        <w:rPr>
          <w:rFonts w:ascii="Times New Roman" w:cs="Times New Roman" w:eastAsia="Times New Roman" w:hAnsi="Times New Roman"/>
          <w:sz w:val="16"/>
          <w:szCs w:val="16"/>
          <w:color w:val="auto"/>
        </w:rPr>
        <w:t>” means International Financial Reporting Standards, as applied by the Company.</w:t>
      </w:r>
    </w:p>
    <w:p>
      <w:pPr>
        <w:spacing w:after="0" w:line="198"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Material Adverse Effect</w:t>
      </w:r>
      <w:r>
        <w:rPr>
          <w:rFonts w:ascii="Times New Roman" w:cs="Times New Roman" w:eastAsia="Times New Roman" w:hAnsi="Times New Roman"/>
          <w:sz w:val="16"/>
          <w:szCs w:val="16"/>
          <w:color w:val="auto"/>
        </w:rPr>
        <w:t>” means with respect to any event or circumstance, an effect that reasonably be expected to have a material adverse effect on the business, properties, management, financial position, stockholders’ equity, results of operations or prospects of the Company taken as a whole or on the performance by the Company of its obligations under this Agreement.</w:t>
      </w:r>
    </w:p>
    <w:p>
      <w:pPr>
        <w:spacing w:after="0" w:line="153" w:lineRule="exact"/>
        <w:rPr>
          <w:sz w:val="20"/>
          <w:szCs w:val="20"/>
          <w:color w:val="auto"/>
        </w:rPr>
      </w:pPr>
    </w:p>
    <w:p>
      <w:pPr>
        <w:ind w:right="50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Ordinary Share</w:t>
      </w:r>
      <w:r>
        <w:rPr>
          <w:rFonts w:ascii="Times New Roman" w:cs="Times New Roman" w:eastAsia="Times New Roman" w:hAnsi="Times New Roman"/>
          <w:sz w:val="16"/>
          <w:szCs w:val="16"/>
          <w:color w:val="auto"/>
        </w:rPr>
        <w:t>” means the Class A Ordinary Share of the Company, par value $0.0001 per share, and any other class of securities into which such securities may hereafter be reclassified or changed.</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 Share Purchase Price</w:t>
      </w:r>
      <w:r>
        <w:rPr>
          <w:rFonts w:ascii="Times New Roman" w:cs="Times New Roman" w:eastAsia="Times New Roman" w:hAnsi="Times New Roman"/>
          <w:sz w:val="16"/>
          <w:szCs w:val="16"/>
          <w:color w:val="auto"/>
        </w:rPr>
        <w:t>” shall be US$13.25 per ADS, equals to approximately US$4.4167 per Ordinary Share.</w:t>
      </w:r>
    </w:p>
    <w:p>
      <w:pPr>
        <w:spacing w:after="0" w:line="198" w:lineRule="exact"/>
        <w:rPr>
          <w:sz w:val="20"/>
          <w:szCs w:val="20"/>
          <w:color w:val="auto"/>
        </w:rPr>
      </w:pPr>
    </w:p>
    <w:p>
      <w:pPr>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Person</w:t>
      </w:r>
      <w:r>
        <w:rPr>
          <w:rFonts w:ascii="Times New Roman" w:cs="Times New Roman" w:eastAsia="Times New Roman" w:hAnsi="Times New Roman"/>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40" w:lineRule="exact"/>
        <w:rPr>
          <w:sz w:val="20"/>
          <w:szCs w:val="20"/>
          <w:color w:val="auto"/>
        </w:rPr>
      </w:pPr>
    </w:p>
    <w:p>
      <w:pPr>
        <w:ind w:right="26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Placement Agents</w:t>
      </w:r>
      <w:r>
        <w:rPr>
          <w:rFonts w:ascii="Times New Roman" w:cs="Times New Roman" w:eastAsia="Times New Roman" w:hAnsi="Times New Roman"/>
          <w:sz w:val="16"/>
          <w:szCs w:val="16"/>
          <w:color w:val="auto"/>
        </w:rPr>
        <w:t>” means Leerink Partners LLC, Cantor Fitzgerald &amp; Co., Lucid Capital Markets, LLC, H.C. Wainwright &amp; Co., LLC and JonesTrading Institutional Services LLC.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both"/>
        <w:ind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PRC</w:t>
      </w:r>
      <w:r>
        <w:rPr>
          <w:rFonts w:ascii="Times New Roman" w:cs="Times New Roman" w:eastAsia="Times New Roman" w:hAnsi="Times New Roman"/>
          <w:sz w:val="16"/>
          <w:szCs w:val="16"/>
          <w:color w:val="auto"/>
        </w:rPr>
        <w:t>” means the People’s Republic of China, excluding, for the purposes of this Agreement only, the Hong Kong Special Administrative Region, the Macau Special Administrative Region and Taiwan.</w:t>
      </w:r>
    </w:p>
    <w:p>
      <w:pPr>
        <w:spacing w:after="0" w:line="140"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144</w:t>
      </w:r>
      <w:r>
        <w:rPr>
          <w:rFonts w:ascii="Times New Roman" w:cs="Times New Roman" w:eastAsia="Times New Roman" w:hAnsi="Times New Roman"/>
          <w:sz w:val="16"/>
          <w:szCs w:val="16"/>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0"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Rule 424</w:t>
      </w:r>
      <w:r>
        <w:rPr>
          <w:rFonts w:ascii="Times New Roman" w:cs="Times New Roman" w:eastAsia="Times New Roman" w:hAnsi="Times New Roman"/>
          <w:sz w:val="16"/>
          <w:szCs w:val="16"/>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means the Securities Act of 1933, as amended, and the rules and regulations promulgated thereunder.</w:t>
      </w:r>
    </w:p>
    <w:p>
      <w:pPr>
        <w:spacing w:after="0" w:line="198"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 Reports</w:t>
      </w:r>
      <w:r>
        <w:rPr>
          <w:rFonts w:ascii="Times New Roman" w:cs="Times New Roman" w:eastAsia="Times New Roman" w:hAnsi="Times New Roman"/>
          <w:sz w:val="16"/>
          <w:szCs w:val="16"/>
          <w:color w:val="auto"/>
        </w:rPr>
        <w:t>” means reports, schedules, forms, statements and other documents required to be filed by it under the Securities Act and the Exchange Act, including pursuant to Section 13(a) or 15(d) thereof, for the two years preceding the date hereof (or such shorter period as the Company was required by law or regulation to file such material), including the exhibits thereto and documents incorporated by reference therein.</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w:t>
      </w:r>
      <w:r>
        <w:rPr>
          <w:rFonts w:ascii="Times New Roman" w:cs="Times New Roman" w:eastAsia="Times New Roman" w:hAnsi="Times New Roman"/>
          <w:sz w:val="16"/>
          <w:szCs w:val="16"/>
          <w:color w:val="auto"/>
        </w:rPr>
        <w:t>” means the Shares and the ADSs.</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means the shares of Ordinary Share issued or issuable to each Purchaser pursuant to this Agreement.</w:t>
      </w:r>
    </w:p>
    <w:p>
      <w:pPr>
        <w:spacing w:after="0" w:line="198"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Short Sales</w:t>
      </w:r>
      <w:r>
        <w:rPr>
          <w:rFonts w:ascii="Times New Roman" w:cs="Times New Roman" w:eastAsia="Times New Roman" w:hAnsi="Times New Roman"/>
          <w:sz w:val="16"/>
          <w:szCs w:val="16"/>
          <w:color w:val="auto"/>
        </w:rPr>
        <w:t>” means all “short sales” as defined in Rule 200 of Regulation SHO under the Exchange Act (but shall not be deemed to include locating and/or borrowing shares of Ordinary Share).</w:t>
      </w:r>
    </w:p>
    <w:p>
      <w:pPr>
        <w:spacing w:after="0" w:line="140" w:lineRule="exact"/>
        <w:rPr>
          <w:sz w:val="20"/>
          <w:szCs w:val="20"/>
          <w:color w:val="auto"/>
        </w:rPr>
      </w:pPr>
    </w:p>
    <w:p>
      <w:pPr>
        <w:jc w:val="both"/>
        <w:ind w:firstLine="287"/>
        <w:spacing w:after="0" w:line="26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Subscription Amount</w:t>
      </w:r>
      <w:r>
        <w:rPr>
          <w:rFonts w:ascii="Times New Roman" w:cs="Times New Roman" w:eastAsia="Times New Roman" w:hAnsi="Times New Roman"/>
          <w:sz w:val="16"/>
          <w:szCs w:val="16"/>
          <w:color w:val="auto"/>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 which shall equal the number of Shares being acquired by such Purchaser multiplied by the Per Share Purchase Price.</w:t>
      </w:r>
    </w:p>
    <w:p>
      <w:pPr>
        <w:spacing w:after="0" w:line="1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Day</w:t>
      </w:r>
      <w:r>
        <w:rPr>
          <w:rFonts w:ascii="Times New Roman" w:cs="Times New Roman" w:eastAsia="Times New Roman" w:hAnsi="Times New Roman"/>
          <w:sz w:val="16"/>
          <w:szCs w:val="16"/>
          <w:color w:val="auto"/>
        </w:rPr>
        <w:t>” means a day on which the principal Trading Market is open for trading.</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Trading Market</w:t>
      </w:r>
      <w:r>
        <w:rPr>
          <w:rFonts w:ascii="Times New Roman" w:cs="Times New Roman" w:eastAsia="Times New Roman" w:hAnsi="Times New Roman"/>
          <w:sz w:val="16"/>
          <w:szCs w:val="16"/>
          <w:color w:val="auto"/>
        </w:rPr>
        <w:t>” means the Nasdaq Global Market.</w:t>
      </w:r>
    </w:p>
    <w:p>
      <w:pPr>
        <w:spacing w:after="0" w:line="198" w:lineRule="exact"/>
        <w:rPr>
          <w:sz w:val="20"/>
          <w:szCs w:val="20"/>
          <w:color w:val="auto"/>
        </w:rPr>
      </w:pPr>
    </w:p>
    <w:p>
      <w:pPr>
        <w:jc w:val="both"/>
        <w:ind w:right="20" w:firstLine="287"/>
        <w:spacing w:after="0" w:line="283"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Transaction Documents</w:t>
      </w:r>
      <w:r>
        <w:rPr>
          <w:rFonts w:ascii="Times New Roman" w:cs="Times New Roman" w:eastAsia="Times New Roman" w:hAnsi="Times New Roman"/>
          <w:sz w:val="16"/>
          <w:szCs w:val="16"/>
          <w:color w:val="auto"/>
        </w:rPr>
        <w:t>” means this Agreement and all exhibits and schedules hereto and all other documents and certificates entered into or delivered by the parties in connection with the transactions contemplated by this Agreement.</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Transfer Agent</w:t>
      </w:r>
      <w:r>
        <w:rPr>
          <w:rFonts w:ascii="Times New Roman" w:cs="Times New Roman" w:eastAsia="Times New Roman" w:hAnsi="Times New Roman"/>
          <w:sz w:val="16"/>
          <w:szCs w:val="16"/>
          <w:color w:val="auto"/>
        </w:rPr>
        <w:t>” means Maples Fund Services (Cayman) Limited, the current transfer agent of the Company, and any successor transfer agent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PURCHASE AND SALE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2.1. </w:t>
      </w:r>
      <w:r>
        <w:rPr>
          <w:rFonts w:ascii="Times New Roman" w:cs="Times New Roman" w:eastAsia="Times New Roman" w:hAnsi="Times New Roman"/>
          <w:sz w:val="16"/>
          <w:szCs w:val="16"/>
          <w:i w:val="1"/>
          <w:iCs w:val="1"/>
          <w:color w:val="auto"/>
        </w:rPr>
        <w:t>Closing</w:t>
      </w:r>
      <w:r>
        <w:rPr>
          <w:rFonts w:ascii="Times New Roman" w:cs="Times New Roman" w:eastAsia="Times New Roman" w:hAnsi="Times New Roman"/>
          <w:sz w:val="16"/>
          <w:szCs w:val="16"/>
          <w:color w:val="auto"/>
        </w:rPr>
        <w:t xml:space="preserve">. On the Closing Date, upon the terms and subject to the conditions set forth herein, the Company agrees to sell and issue to the Purchasers, and the Purchasers, severally and not jointly, agree to purchase, up to an aggregate of 33,962,265 Ordinary Shares, equivalent of 11,320,755 ADSs, at the Per Share Purchase Price. The Company shall deliver to each Purchaser its Shares pursuant to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and the Company and each Purchaser shall deliver the other items set forth in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xml:space="preserve"> at the Closing. Upon satisfaction of the covenants and conditions set forth in </w:t>
      </w:r>
      <w:r>
        <w:rPr>
          <w:rFonts w:ascii="Times New Roman" w:cs="Times New Roman" w:eastAsia="Times New Roman" w:hAnsi="Times New Roman"/>
          <w:sz w:val="16"/>
          <w:szCs w:val="16"/>
          <w:u w:val="single" w:color="auto"/>
          <w:color w:val="auto"/>
        </w:rPr>
        <w:t>Sections 2.2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2.3</w:t>
      </w:r>
      <w:r>
        <w:rPr>
          <w:rFonts w:ascii="Times New Roman" w:cs="Times New Roman" w:eastAsia="Times New Roman" w:hAnsi="Times New Roman"/>
          <w:sz w:val="16"/>
          <w:szCs w:val="16"/>
          <w:color w:val="auto"/>
        </w:rPr>
        <w:t>, the Closing shall occur at the offices of Company Counsel or such other location as the parties shall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2.2. </w:t>
      </w:r>
      <w:r>
        <w:rPr>
          <w:rFonts w:ascii="Times New Roman" w:cs="Times New Roman" w:eastAsia="Times New Roman" w:hAnsi="Times New Roman"/>
          <w:sz w:val="16"/>
          <w:szCs w:val="16"/>
          <w:i w:val="1"/>
          <w:iCs w:val="1"/>
          <w:color w:val="auto"/>
        </w:rPr>
        <w:t>Deliveries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500" w:hanging="218"/>
        <w:spacing w:after="0"/>
        <w:tabs>
          <w:tab w:leader="none" w:pos="5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(except as indicated below), the Company shall deliver or cause to be delivered to each Purchaser the following:</w:t>
      </w:r>
    </w:p>
    <w:p>
      <w:pPr>
        <w:spacing w:after="0" w:line="198" w:lineRule="exact"/>
        <w:rPr>
          <w:rFonts w:ascii="Times New Roman" w:cs="Times New Roman" w:eastAsia="Times New Roman" w:hAnsi="Times New Roman"/>
          <w:sz w:val="16"/>
          <w:szCs w:val="16"/>
          <w:color w:val="auto"/>
        </w:rPr>
      </w:pPr>
    </w:p>
    <w:p>
      <w:pPr>
        <w:ind w:left="1040" w:hanging="184"/>
        <w:spacing w:after="0"/>
        <w:tabs>
          <w:tab w:leader="none" w:pos="104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duly executed by the Company;</w:t>
      </w:r>
    </w:p>
    <w:p>
      <w:pPr>
        <w:spacing w:after="0" w:line="198" w:lineRule="exact"/>
        <w:rPr>
          <w:rFonts w:ascii="Times New Roman" w:cs="Times New Roman" w:eastAsia="Times New Roman" w:hAnsi="Times New Roman"/>
          <w:sz w:val="16"/>
          <w:szCs w:val="16"/>
          <w:color w:val="auto"/>
        </w:rPr>
      </w:pPr>
    </w:p>
    <w:p>
      <w:pPr>
        <w:ind w:left="1100" w:hanging="244"/>
        <w:spacing w:after="0"/>
        <w:tabs>
          <w:tab w:leader="none" w:pos="1100" w:val="left"/>
        </w:tabs>
        <w:numPr>
          <w:ilvl w:val="1"/>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legal opinion of Company Cayman Counsel, dated as of the Closing Date, in form and substance reasonably satisfactory to the Purchasers and the Placement</w:t>
      </w:r>
    </w:p>
    <w:p>
      <w:pPr>
        <w:spacing w:after="0" w:line="2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Agents;</w:t>
      </w:r>
    </w:p>
    <w:p>
      <w:pPr>
        <w:spacing w:after="0" w:line="18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(ii) a legal opinion of Company U.S. Counsel, dated as of the Closing Date, in form and substance reasonably satisfactory to the Purchasers and the Placement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Agents;</w:t>
      </w:r>
    </w:p>
    <w:p>
      <w:pPr>
        <w:spacing w:after="0" w:line="182" w:lineRule="exact"/>
        <w:rPr>
          <w:sz w:val="20"/>
          <w:szCs w:val="20"/>
          <w:color w:val="auto"/>
        </w:rPr>
      </w:pPr>
    </w:p>
    <w:p>
      <w:pPr>
        <w:ind w:right="20" w:firstLine="856"/>
        <w:spacing w:after="0" w:line="280" w:lineRule="auto"/>
        <w:tabs>
          <w:tab w:leader="none" w:pos="1168"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provided the Purchaser with the Company’s wire instructions, on Company letterhead and executed by the Company’s Chief Executive Officer or Chief Financial Officer;</w:t>
      </w:r>
    </w:p>
    <w:p>
      <w:pPr>
        <w:spacing w:after="0" w:line="144" w:lineRule="exact"/>
        <w:rPr>
          <w:rFonts w:ascii="Times New Roman" w:cs="Times New Roman" w:eastAsia="Times New Roman" w:hAnsi="Times New Roman"/>
          <w:sz w:val="16"/>
          <w:szCs w:val="16"/>
          <w:color w:val="auto"/>
        </w:rPr>
      </w:pPr>
    </w:p>
    <w:p>
      <w:pPr>
        <w:jc w:val="both"/>
        <w:ind w:firstLine="856"/>
        <w:spacing w:after="0" w:line="265" w:lineRule="auto"/>
        <w:tabs>
          <w:tab w:leader="none" w:pos="1157"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copy of the irrevocable instructions to the Transfer Agent instructing the Transfer Agent to deliver on an expedited basis uncertificated book entries representing the Shares purchased by the Purchaser hereunder and set forth on such Purchaser’s signature page (and bearing the restrictive securities legend pursuant to </w:t>
      </w:r>
      <w:r>
        <w:rPr>
          <w:rFonts w:ascii="Times New Roman" w:cs="Times New Roman" w:eastAsia="Times New Roman" w:hAnsi="Times New Roman"/>
          <w:sz w:val="16"/>
          <w:szCs w:val="16"/>
          <w:u w:val="single" w:color="auto"/>
          <w:color w:val="auto"/>
        </w:rPr>
        <w:t>Section 5.9</w:t>
      </w:r>
      <w:r>
        <w:rPr>
          <w:rFonts w:ascii="Times New Roman" w:cs="Times New Roman" w:eastAsia="Times New Roman" w:hAnsi="Times New Roman"/>
          <w:sz w:val="16"/>
          <w:szCs w:val="16"/>
          <w:color w:val="auto"/>
        </w:rPr>
        <w:t>), registered in the name of such Purchaser.</w:t>
      </w:r>
    </w:p>
    <w:p>
      <w:pPr>
        <w:spacing w:after="0" w:line="155" w:lineRule="exact"/>
        <w:rPr>
          <w:rFonts w:ascii="Times New Roman" w:cs="Times New Roman" w:eastAsia="Times New Roman" w:hAnsi="Times New Roman"/>
          <w:sz w:val="16"/>
          <w:szCs w:val="16"/>
          <w:color w:val="auto"/>
        </w:rPr>
      </w:pPr>
    </w:p>
    <w:p>
      <w:pPr>
        <w:ind w:left="1080" w:hanging="224"/>
        <w:spacing w:after="0"/>
        <w:tabs>
          <w:tab w:leader="none" w:pos="1080" w:val="left"/>
        </w:tabs>
        <w:numPr>
          <w:ilvl w:val="1"/>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executed copies of a lock-up agreement from each executive officer, director and certain shareholders of the Company, in the form attached as Annex A hereto.</w:t>
      </w:r>
    </w:p>
    <w:p>
      <w:pPr>
        <w:spacing w:after="0" w:line="209" w:lineRule="exact"/>
        <w:rPr>
          <w:rFonts w:ascii="Times New Roman" w:cs="Times New Roman" w:eastAsia="Times New Roman" w:hAnsi="Times New Roman"/>
          <w:sz w:val="15"/>
          <w:szCs w:val="15"/>
          <w:color w:val="auto"/>
        </w:rPr>
      </w:pPr>
    </w:p>
    <w:p>
      <w:pPr>
        <w:ind w:left="500" w:hanging="218"/>
        <w:spacing w:after="0"/>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prior to the Closing Date, each Purchaser shall deliver or cause to be delivered to the Company the following:</w:t>
      </w:r>
    </w:p>
    <w:p>
      <w:pPr>
        <w:spacing w:after="0" w:line="198" w:lineRule="exact"/>
        <w:rPr>
          <w:rFonts w:ascii="Times New Roman" w:cs="Times New Roman" w:eastAsia="Times New Roman" w:hAnsi="Times New Roman"/>
          <w:sz w:val="16"/>
          <w:szCs w:val="16"/>
          <w:color w:val="auto"/>
        </w:rPr>
      </w:pPr>
    </w:p>
    <w:p>
      <w:pPr>
        <w:ind w:left="1040" w:hanging="184"/>
        <w:spacing w:after="0"/>
        <w:tabs>
          <w:tab w:leader="none" w:pos="104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duly executed by such Purchaser; and</w:t>
      </w:r>
    </w:p>
    <w:p>
      <w:pPr>
        <w:spacing w:after="0" w:line="198" w:lineRule="exact"/>
        <w:rPr>
          <w:rFonts w:ascii="Times New Roman" w:cs="Times New Roman" w:eastAsia="Times New Roman" w:hAnsi="Times New Roman"/>
          <w:sz w:val="16"/>
          <w:szCs w:val="16"/>
          <w:color w:val="auto"/>
        </w:rPr>
      </w:pPr>
    </w:p>
    <w:p>
      <w:pPr>
        <w:ind w:left="1100" w:hanging="244"/>
        <w:spacing w:after="0"/>
        <w:tabs>
          <w:tab w:leader="none" w:pos="110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subject to the last sentence of </w:t>
      </w:r>
      <w:r>
        <w:rPr>
          <w:rFonts w:ascii="Times New Roman" w:cs="Times New Roman" w:eastAsia="Times New Roman" w:hAnsi="Times New Roman"/>
          <w:sz w:val="16"/>
          <w:szCs w:val="16"/>
          <w:u w:val="single" w:color="auto"/>
          <w:color w:val="auto"/>
        </w:rPr>
        <w:t>Section 2.1</w:t>
      </w:r>
      <w:r>
        <w:rPr>
          <w:rFonts w:ascii="Times New Roman" w:cs="Times New Roman" w:eastAsia="Times New Roman" w:hAnsi="Times New Roman"/>
          <w:sz w:val="16"/>
          <w:szCs w:val="16"/>
          <w:color w:val="auto"/>
        </w:rPr>
        <w:t>, if applicable to the Purchaser, such Purchaser’s Subscription Amount.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16"/>
          <w:szCs w:val="16"/>
          <w:i w:val="1"/>
          <w:iCs w:val="1"/>
          <w:color w:val="auto"/>
        </w:rPr>
        <w:t>Closing Conditions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firstLine="282"/>
        <w:spacing w:after="0" w:line="280" w:lineRule="auto"/>
        <w:tabs>
          <w:tab w:leader="none" w:pos="50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obligations of the Company hereunder in connection with the Closing are subject to the following conditions being met, unless otherwise waived in writing by the Company:</w:t>
      </w:r>
    </w:p>
    <w:p>
      <w:pPr>
        <w:spacing w:after="0" w:line="144" w:lineRule="exact"/>
        <w:rPr>
          <w:rFonts w:ascii="Times New Roman" w:cs="Times New Roman" w:eastAsia="Times New Roman" w:hAnsi="Times New Roman"/>
          <w:sz w:val="16"/>
          <w:szCs w:val="16"/>
          <w:color w:val="auto"/>
        </w:rPr>
      </w:pPr>
    </w:p>
    <w:p>
      <w:pPr>
        <w:ind w:right="20" w:firstLine="856"/>
        <w:spacing w:after="0" w:line="280" w:lineRule="auto"/>
        <w:tabs>
          <w:tab w:leader="none" w:pos="1061"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Purchasers contained herein shall be materially true and correct as of the Closing Date as if made as of the Closing Date (unless such representation or warranty was made as of a specific date, in which case such representation and warranty shall be true and correct as of such date);</w:t>
      </w:r>
    </w:p>
    <w:p>
      <w:pPr>
        <w:spacing w:after="0" w:line="144" w:lineRule="exact"/>
        <w:rPr>
          <w:rFonts w:ascii="Times New Roman" w:cs="Times New Roman" w:eastAsia="Times New Roman" w:hAnsi="Times New Roman"/>
          <w:sz w:val="16"/>
          <w:szCs w:val="16"/>
          <w:color w:val="auto"/>
        </w:rPr>
      </w:pPr>
    </w:p>
    <w:p>
      <w:pPr>
        <w:ind w:right="20" w:firstLine="856"/>
        <w:spacing w:after="0" w:line="280" w:lineRule="auto"/>
        <w:tabs>
          <w:tab w:leader="none" w:pos="1101"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covenants and agreements required to be performed or complied with by each Purchaser on or prior to the Closing shall have been performed or complied with by it; and</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delivery by each Purchaser of the items set forth in </w:t>
      </w:r>
      <w:r>
        <w:rPr>
          <w:rFonts w:ascii="Times New Roman" w:cs="Times New Roman" w:eastAsia="Times New Roman" w:hAnsi="Times New Roman"/>
          <w:sz w:val="16"/>
          <w:szCs w:val="16"/>
          <w:u w:val="single" w:color="auto"/>
          <w:color w:val="auto"/>
        </w:rPr>
        <w:t>Section 2.2(b)</w:t>
      </w:r>
      <w:r>
        <w:rPr>
          <w:rFonts w:ascii="Times New Roman" w:cs="Times New Roman" w:eastAsia="Times New Roman" w:hAnsi="Times New Roman"/>
          <w:sz w:val="16"/>
          <w:szCs w:val="16"/>
          <w:color w:val="auto"/>
        </w:rPr>
        <w:t xml:space="preserve"> of this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8" w:name="page9"/>
    <w:bookmarkEnd w:id="8"/>
    <w:p>
      <w:pPr>
        <w:ind w:firstLine="282"/>
        <w:spacing w:after="0" w:line="280" w:lineRule="auto"/>
        <w:tabs>
          <w:tab w:leader="none" w:pos="52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respective obligations of the Purchasers hereunder in connection with the Closing are subject to the following conditions being met, unless otherwise waived in writing by a Purchaser solely as to itself:</w:t>
      </w:r>
    </w:p>
    <w:p>
      <w:pPr>
        <w:spacing w:after="0" w:line="144" w:lineRule="exact"/>
        <w:rPr>
          <w:rFonts w:ascii="Times New Roman" w:cs="Times New Roman" w:eastAsia="Times New Roman" w:hAnsi="Times New Roman"/>
          <w:sz w:val="16"/>
          <w:szCs w:val="16"/>
          <w:color w:val="auto"/>
        </w:rPr>
      </w:pPr>
    </w:p>
    <w:p>
      <w:pPr>
        <w:jc w:val="both"/>
        <w:ind w:right="20" w:firstLine="856"/>
        <w:spacing w:after="0" w:line="265" w:lineRule="auto"/>
        <w:tabs>
          <w:tab w:leader="none" w:pos="1057"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of the Company contained herein shall be true and correct as of the date hereof and as of the Closing Date as if made as of the Closing Date (unless in each case such representation or warranty was made as of a specific date, in which case such representation and warranty shall be true and correct as of such date);</w:t>
      </w:r>
    </w:p>
    <w:p>
      <w:pPr>
        <w:spacing w:after="0" w:line="155" w:lineRule="exact"/>
        <w:rPr>
          <w:rFonts w:ascii="Times New Roman" w:cs="Times New Roman" w:eastAsia="Times New Roman" w:hAnsi="Times New Roman"/>
          <w:sz w:val="16"/>
          <w:szCs w:val="16"/>
          <w:color w:val="auto"/>
        </w:rPr>
      </w:pPr>
    </w:p>
    <w:p>
      <w:pPr>
        <w:ind w:right="20" w:firstLine="856"/>
        <w:spacing w:after="0" w:line="280" w:lineRule="auto"/>
        <w:tabs>
          <w:tab w:leader="none" w:pos="1098"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obligations, covenants and agreements required to be performed or complied with by the Company on or prior to the Closing shall have been performed or complied with by it;</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delivery by the Company of the items set forth in </w:t>
      </w:r>
      <w:r>
        <w:rPr>
          <w:rFonts w:ascii="Times New Roman" w:cs="Times New Roman" w:eastAsia="Times New Roman" w:hAnsi="Times New Roman"/>
          <w:sz w:val="16"/>
          <w:szCs w:val="16"/>
          <w:u w:val="single" w:color="auto"/>
          <w:color w:val="auto"/>
        </w:rPr>
        <w:t>Section 2.2(a)</w:t>
      </w:r>
      <w:r>
        <w:rPr>
          <w:rFonts w:ascii="Times New Roman" w:cs="Times New Roman" w:eastAsia="Times New Roman" w:hAnsi="Times New Roman"/>
          <w:sz w:val="16"/>
          <w:szCs w:val="16"/>
          <w:color w:val="auto"/>
        </w:rPr>
        <w:t xml:space="preserve"> of this Agreement;</w:t>
      </w:r>
    </w:p>
    <w:p>
      <w:pPr>
        <w:spacing w:after="0" w:line="198" w:lineRule="exact"/>
        <w:rPr>
          <w:rFonts w:ascii="Times New Roman" w:cs="Times New Roman" w:eastAsia="Times New Roman" w:hAnsi="Times New Roman"/>
          <w:sz w:val="16"/>
          <w:szCs w:val="16"/>
          <w:color w:val="auto"/>
        </w:rPr>
      </w:pPr>
    </w:p>
    <w:p>
      <w:pPr>
        <w:ind w:left="1120" w:hanging="264"/>
        <w:spacing w:after="0"/>
        <w:tabs>
          <w:tab w:leader="none" w:pos="112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Material Adverse Effect with respect to the Company shall have occurred since the date hereof;</w:t>
      </w:r>
    </w:p>
    <w:p>
      <w:pPr>
        <w:spacing w:after="0" w:line="198" w:lineRule="exact"/>
        <w:rPr>
          <w:rFonts w:ascii="Times New Roman" w:cs="Times New Roman" w:eastAsia="Times New Roman" w:hAnsi="Times New Roman"/>
          <w:sz w:val="16"/>
          <w:szCs w:val="16"/>
          <w:color w:val="auto"/>
        </w:rPr>
      </w:pPr>
    </w:p>
    <w:p>
      <w:pPr>
        <w:jc w:val="both"/>
        <w:ind w:firstLine="856"/>
        <w:spacing w:after="0" w:line="255" w:lineRule="auto"/>
        <w:tabs>
          <w:tab w:leader="none" w:pos="110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from the date hereof to the Closing Date, (A) trading in the ADSs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(B) no banking moratorium shall have been declared either by the United States or New York State authorities, and (C) there shall not have occurred any material outbreak or escalation of hostilities or other national or international calamity of such magnitude in its effect on, or any material adverse change in, any financial market which, with respect to this clause (C), in the reasonable judgment of the Purchasers purchasing a majority of the Shares in the offering made hereunder, makes it impracticable or inadvisable to purchase the Shares at the Closing;</w:t>
      </w:r>
    </w:p>
    <w:p>
      <w:pPr>
        <w:spacing w:after="0" w:line="165" w:lineRule="exact"/>
        <w:rPr>
          <w:rFonts w:ascii="Times New Roman" w:cs="Times New Roman" w:eastAsia="Times New Roman" w:hAnsi="Times New Roman"/>
          <w:sz w:val="16"/>
          <w:szCs w:val="16"/>
          <w:color w:val="auto"/>
        </w:rPr>
      </w:pPr>
    </w:p>
    <w:p>
      <w:pPr>
        <w:jc w:val="both"/>
        <w:ind w:firstLine="856"/>
        <w:spacing w:after="0" w:line="257" w:lineRule="auto"/>
        <w:tabs>
          <w:tab w:leader="none" w:pos="1142"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objection shall have been raised by the Trading Market with respect to such notification and the consummation of the transactions contemplated by this Agreement; (vii) no governmental authority shall have issued any order, decree or ruling, and no law shall be in effect, enjoining, restraining or otherwise prohibiting any of the transactions contemplated hereby, and the Company shall have obtained all governmental, regulatory or third-party consents and approvals other than any waivers required under the Company’s existing amended and restated investors rights agreement, if any, necessary for the sale and issuance of the Shares, including without limitation, those required by the Nasdaq Global Select Market.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REPRESENTATIONS AND WARRANTIES</w:t>
      </w:r>
    </w:p>
    <w:p>
      <w:pPr>
        <w:spacing w:after="0" w:line="180"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i w:val="1"/>
          <w:iCs w:val="1"/>
          <w:color w:val="auto"/>
        </w:rPr>
        <w:t>Representations and Warranties of the Company</w:t>
      </w:r>
      <w:r>
        <w:rPr>
          <w:rFonts w:ascii="Times New Roman" w:cs="Times New Roman" w:eastAsia="Times New Roman" w:hAnsi="Times New Roman"/>
          <w:sz w:val="16"/>
          <w:szCs w:val="16"/>
          <w:color w:val="auto"/>
        </w:rPr>
        <w:t>. The Company hereby represents and warrants as of the date hereof (except for the representations and warranties that speak as of a specific date, which shall be made as of such date), to the Purchasers and to the Placement Agents:</w:t>
      </w:r>
    </w:p>
    <w:p>
      <w:pPr>
        <w:spacing w:after="0" w:line="142" w:lineRule="exact"/>
        <w:rPr>
          <w:sz w:val="20"/>
          <w:szCs w:val="20"/>
          <w:color w:val="auto"/>
        </w:rPr>
      </w:pPr>
    </w:p>
    <w:p>
      <w:pPr>
        <w:jc w:val="both"/>
        <w:ind w:firstLine="282"/>
        <w:spacing w:after="0" w:line="259" w:lineRule="auto"/>
        <w:tabs>
          <w:tab w:leader="none" w:pos="50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and Good Standing</w:t>
      </w:r>
      <w:r>
        <w:rPr>
          <w:rFonts w:ascii="Times New Roman" w:cs="Times New Roman" w:eastAsia="Times New Roman" w:hAnsi="Times New Roman"/>
          <w:sz w:val="16"/>
          <w:szCs w:val="16"/>
          <w:color w:val="auto"/>
        </w:rPr>
        <w:t>. The Company has been duly organized and is validly existing and in good standing under the laws of its jurisdiction of organization, is duly qualified to do business and is in good standing in each jurisdiction in which its ownership or lease of property or the conduct of its business requires such qualification, and has all power and authority necessary to own or hold its properties and to conduct the businesses in which it is engaged, except where the failure to be so qualified or in good standing or have such power or authority would not, individually or in the aggregate, have a Material Adverse Effect.</w:t>
      </w:r>
    </w:p>
    <w:p>
      <w:pPr>
        <w:spacing w:after="0" w:line="161"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1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Authorization</w:t>
      </w:r>
      <w:r>
        <w:rPr>
          <w:rFonts w:ascii="Times New Roman" w:cs="Times New Roman" w:eastAsia="Times New Roman" w:hAnsi="Times New Roman"/>
          <w:sz w:val="16"/>
          <w:szCs w:val="16"/>
          <w:color w:val="auto"/>
        </w:rPr>
        <w:t>. The Company has full right, power and authority to execute and deliver the Transaction Documents and to perform its obligations hereunder; and all action required to be taken for the due and proper authorization, execution and delivery by it of the Transaction Documents and the consummation by it of the transactions contemplated hereby has been duly and validly taken.</w:t>
      </w:r>
    </w:p>
    <w:p>
      <w:pPr>
        <w:spacing w:after="0" w:line="153" w:lineRule="exact"/>
        <w:rPr>
          <w:rFonts w:ascii="Times New Roman" w:cs="Times New Roman" w:eastAsia="Times New Roman" w:hAnsi="Times New Roman"/>
          <w:sz w:val="16"/>
          <w:szCs w:val="16"/>
          <w:color w:val="auto"/>
        </w:rPr>
      </w:pPr>
    </w:p>
    <w:p>
      <w:pPr>
        <w:jc w:val="both"/>
        <w:ind w:firstLine="282"/>
        <w:spacing w:after="0" w:line="256" w:lineRule="auto"/>
        <w:tabs>
          <w:tab w:leader="none" w:pos="50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Violation or Default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Company is not (i) in violation of its articles of associations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property or asset of the Company is subject; or (iii) in violation of any applicable law or statute or any judgment, order, rule or regulation of any court or arbitrator or governmental or regulatory authority having jurisdiction over the Company, except, in the case of clauses (ii) and (iii) above, for any such default or violation that would not, individually or in the aggregate, reasonably be expected to have a Material Adverse Effect.</w:t>
      </w:r>
    </w:p>
    <w:p>
      <w:pPr>
        <w:spacing w:after="0" w:line="162" w:lineRule="exact"/>
        <w:rPr>
          <w:rFonts w:ascii="Times New Roman" w:cs="Times New Roman" w:eastAsia="Times New Roman" w:hAnsi="Times New Roman"/>
          <w:sz w:val="16"/>
          <w:szCs w:val="16"/>
          <w:color w:val="auto"/>
        </w:rPr>
      </w:pPr>
    </w:p>
    <w:p>
      <w:pPr>
        <w:jc w:val="both"/>
        <w:ind w:firstLine="282"/>
        <w:spacing w:after="0" w:line="253" w:lineRule="auto"/>
        <w:tabs>
          <w:tab w:leader="none" w:pos="51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delivery and performance by the Company of the Transaction Documents to which it is a party and the consummation by the Company of the transactions contemplated thereby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pursuant to, any indenture, mortgage, deed of trust, loan agreement or other agreement or instrument to which the Company is a party or by which the Company is bound or to which any property, right or asset of the Company is subject, (ii) result in any violation of the provisions of the articles of associations or similar organizational documents of the Company or (iii) result in the violation of any law or statute or any judgment, order, rule or regulation of any court or arbitrator or governmental or regulatory authority, except, in the case of clauses (i) and (iii) above, for any such conflict, breach, violation, default, lien, charge or encumbrance that would not, individually or in the aggregate, have a Material Adverse Effect.</w:t>
      </w:r>
    </w:p>
    <w:p>
      <w:pPr>
        <w:spacing w:after="0" w:line="169" w:lineRule="exact"/>
        <w:rPr>
          <w:rFonts w:ascii="Times New Roman" w:cs="Times New Roman" w:eastAsia="Times New Roman" w:hAnsi="Times New Roman"/>
          <w:sz w:val="16"/>
          <w:szCs w:val="16"/>
          <w:color w:val="auto"/>
        </w:rPr>
      </w:pPr>
    </w:p>
    <w:p>
      <w:pPr>
        <w:jc w:val="both"/>
        <w:ind w:firstLine="447"/>
        <w:spacing w:after="0" w:line="255" w:lineRule="auto"/>
        <w:tabs>
          <w:tab w:leader="none" w:pos="692"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Filings, Consents and Approvals</w:t>
      </w:r>
      <w:r>
        <w:rPr>
          <w:rFonts w:ascii="Times New Roman" w:cs="Times New Roman" w:eastAsia="Times New Roman" w:hAnsi="Times New Roman"/>
          <w:sz w:val="16"/>
          <w:szCs w:val="16"/>
          <w:color w:val="auto"/>
        </w:rPr>
        <w:t xml:space="preserve">. No filing, consent, approval, authorization, order, license, registration or qualification of or with any court or arbitrator or governmental or regulatory authority having jurisdiction over the Company is required for the execution, delivery and performance by the Company of the Transaction Documents (including the issuance of the Shares), other than (i) the filing of any requisite notices and/or application(s) to the principal Trading Market for the issuance and sale of the Shares and the listing of the Shares for trading or quotation thereon in the time and manner required thereby, (ii) the filings required in accordance with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of this Agreement, (iii) the CSRC Filings to be completed pursuant to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xml:space="preserve"> of this Agreement, and (iv) those that have been made or obtained prior to the date of this Agreement (collectively, the “</w:t>
      </w:r>
      <w:r>
        <w:rPr>
          <w:rFonts w:ascii="Times New Roman" w:cs="Times New Roman" w:eastAsia="Times New Roman" w:hAnsi="Times New Roman"/>
          <w:sz w:val="16"/>
          <w:szCs w:val="16"/>
          <w:b w:val="1"/>
          <w:bCs w:val="1"/>
          <w:color w:val="auto"/>
        </w:rPr>
        <w:t>Required Approvals</w:t>
      </w:r>
      <w:r>
        <w:rPr>
          <w:rFonts w:ascii="Times New Roman" w:cs="Times New Roman" w:eastAsia="Times New Roman" w:hAnsi="Times New Roman"/>
          <w:sz w:val="16"/>
          <w:szCs w:val="16"/>
          <w:color w:val="auto"/>
        </w:rPr>
        <w: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0" w:name="page11"/>
    <w:bookmarkEnd w:id="10"/>
    <w:p>
      <w:pPr>
        <w:jc w:val="both"/>
        <w:ind w:firstLine="282"/>
        <w:spacing w:after="0" w:line="259" w:lineRule="auto"/>
        <w:tabs>
          <w:tab w:leader="none" w:pos="48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the Shares</w:t>
      </w:r>
      <w:r>
        <w:rPr>
          <w:rFonts w:ascii="Times New Roman" w:cs="Times New Roman" w:eastAsia="Times New Roman" w:hAnsi="Times New Roman"/>
          <w:sz w:val="16"/>
          <w:szCs w:val="16"/>
          <w:color w:val="auto"/>
        </w:rPr>
        <w:t>. The Shares to be issued and sold by the Company hereunder have been duly authorized by the Company and, when issued, delivered and paid for as provided herein, will be duly and validly issued and fully paid and nonassessable, and the issuance of the Shares is not subject to any pre-emptive or similar rights that have not been duly waived or satisfied. Assuming the accuracy of the representations and warranties of the Purchasers in this Agreement, the Shares will be issued in compliance with all applicable federal and state securities laws.</w:t>
      </w:r>
    </w:p>
    <w:p>
      <w:pPr>
        <w:spacing w:after="0" w:line="161" w:lineRule="exact"/>
        <w:rPr>
          <w:rFonts w:ascii="Times New Roman" w:cs="Times New Roman" w:eastAsia="Times New Roman" w:hAnsi="Times New Roman"/>
          <w:sz w:val="16"/>
          <w:szCs w:val="16"/>
          <w:color w:val="auto"/>
        </w:rPr>
      </w:pPr>
    </w:p>
    <w:p>
      <w:pPr>
        <w:jc w:val="both"/>
        <w:ind w:firstLine="282"/>
        <w:spacing w:after="0" w:line="253" w:lineRule="auto"/>
        <w:tabs>
          <w:tab w:leader="none" w:pos="51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Capitalization</w:t>
      </w:r>
      <w:r>
        <w:rPr>
          <w:rFonts w:ascii="Times New Roman" w:cs="Times New Roman" w:eastAsia="Times New Roman" w:hAnsi="Times New Roman"/>
          <w:sz w:val="16"/>
          <w:szCs w:val="16"/>
          <w:color w:val="auto"/>
        </w:rPr>
        <w:t>. The Company has an authorized capitalization as set forth in the SEC Reports;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SEC Reports, there are no outstanding rights (including, without limitation, pre-emptive rights that have not been duly waived or satisfied), warrants or options to acquire, or instruments convertible into or exchangeable for, any shares of capital stock or other equity interest in the Company, or any contract, commitment, agreement, understanding or arrangement of any kind relating to the issuance of any capital stock of the Company, any such convertible or exchangeable securities or any such rights, warrants or options; the capital stock of the Company conforms in all material respects to the description thereof contained in the SEC Reports. Neither the execution of this Agreement nor the issuance of the Shares will result in the triggering of any anti-dilution or other similar rights (including a rights distribution under any “poison pill” plan or similar arrangement). Other than the Ordinary Share, there are no other shares of any other class or series of capital stock of the Company issued or outstanding.</w:t>
      </w:r>
    </w:p>
    <w:p>
      <w:pPr>
        <w:spacing w:after="0" w:line="166" w:lineRule="exact"/>
        <w:rPr>
          <w:rFonts w:ascii="Times New Roman" w:cs="Times New Roman" w:eastAsia="Times New Roman" w:hAnsi="Times New Roman"/>
          <w:sz w:val="16"/>
          <w:szCs w:val="16"/>
          <w:color w:val="auto"/>
        </w:rPr>
      </w:pPr>
    </w:p>
    <w:p>
      <w:pPr>
        <w:jc w:val="both"/>
        <w:ind w:firstLine="282"/>
        <w:spacing w:after="0" w:line="254" w:lineRule="auto"/>
        <w:tabs>
          <w:tab w:leader="none" w:pos="51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 Reports</w:t>
      </w:r>
      <w:r>
        <w:rPr>
          <w:rFonts w:ascii="Times New Roman" w:cs="Times New Roman" w:eastAsia="Times New Roman" w:hAnsi="Times New Roman"/>
          <w:sz w:val="16"/>
          <w:szCs w:val="16"/>
          <w:color w:val="auto"/>
        </w:rPr>
        <w:t>. The Company has filed all SEC Reports on a timely basis or has received a valid extension of such time of filing and has filed any such SEC Reports prior to the expiration of any such extension, except where the failure to file on a timely basis would not have or reasonably be expected to result in a Material Adverse Effect (including, for this purpose only, any failure to qualify to register the Shares for resale on Form S-1 or which would prevent the Purchaser from using Rule 144 to resell any Shares). As of their respective filing dates, or to the extent corrected by a subsequent restatement or amendment,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is not and has never been an issuer subject to Rule 144(i) under the Securities Act.</w:t>
      </w:r>
    </w:p>
    <w:p>
      <w:pPr>
        <w:spacing w:after="0" w:line="166" w:lineRule="exact"/>
        <w:rPr>
          <w:rFonts w:ascii="Times New Roman" w:cs="Times New Roman" w:eastAsia="Times New Roman" w:hAnsi="Times New Roman"/>
          <w:sz w:val="16"/>
          <w:szCs w:val="16"/>
          <w:color w:val="auto"/>
        </w:rPr>
      </w:pPr>
    </w:p>
    <w:p>
      <w:pPr>
        <w:jc w:val="both"/>
        <w:ind w:right="20" w:firstLine="282"/>
        <w:spacing w:after="0" w:line="254" w:lineRule="auto"/>
        <w:tabs>
          <w:tab w:leader="none" w:pos="47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 The financial statements (including the related notes thereto) of the Company included in the SEC Reports comply in all material respects with the applicable requirements of the Securities Act and the Exchange Act, as applicable, and present fairly in all material respects the financial position of the Company as of the dates indicated and the results of their operations and the changes in their cash flows for the periods specified; such financial statements have been prepared in conformity with IFRS applied on a consistent basis throughout the periods covered thereby, except in the case of unaudited financial statements, which are subject to normal year-end adjustments and do not contain certain footnotes as permitted by the applicable rules of the Commission; any supporting schedules included in the SEC Reports present fairly in all material respects the information required to be stated therein; and the other financial information included in the SEC Reports has been derived from the accounting records of the Company and presents fairly in all material respects the information shown thereby.</w:t>
      </w:r>
    </w:p>
    <w:p>
      <w:pPr>
        <w:spacing w:after="0" w:line="166" w:lineRule="exact"/>
        <w:rPr>
          <w:rFonts w:ascii="Times New Roman" w:cs="Times New Roman" w:eastAsia="Times New Roman" w:hAnsi="Times New Roman"/>
          <w:sz w:val="16"/>
          <w:szCs w:val="16"/>
          <w:color w:val="auto"/>
        </w:rPr>
      </w:pPr>
    </w:p>
    <w:p>
      <w:pPr>
        <w:jc w:val="both"/>
        <w:ind w:firstLine="282"/>
        <w:spacing w:after="0" w:line="252" w:lineRule="auto"/>
        <w:tabs>
          <w:tab w:leader="none" w:pos="489"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Adverse Change</w:t>
      </w:r>
      <w:r>
        <w:rPr>
          <w:rFonts w:ascii="Times New Roman" w:cs="Times New Roman" w:eastAsia="Times New Roman" w:hAnsi="Times New Roman"/>
          <w:sz w:val="16"/>
          <w:szCs w:val="16"/>
          <w:color w:val="auto"/>
        </w:rPr>
        <w:t>. Since the date of the most recent financial statements of the Company included the SEC Reports, (i) there has not been any material change in the capital stock (other than the issuance of shares of Ordinary Share upon exercise of stock options and vesting of other equity awards described as outstanding in, and the grant of options and awards under existing equity incentive plans described in, the SEC Reports), short-term debt or long-term debt of the Company,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(ii) the Company has not entered into any transaction or agreement (whether or not in the ordinary course of business) that is material to the Company or incurred any liability or obligation, direct or contingent, that is material to the Company; and (iii) the Company has not sustained any loss or interference with its business that is material to the Company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SEC Reports.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 w:name="page12"/>
    <w:bookmarkEnd w:id="11"/>
    <w:p>
      <w:pPr>
        <w:jc w:val="both"/>
        <w:ind w:right="20" w:firstLine="282"/>
        <w:spacing w:after="0" w:line="257" w:lineRule="auto"/>
        <w:tabs>
          <w:tab w:leader="none" w:pos="52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Proceedings</w:t>
      </w:r>
      <w:r>
        <w:rPr>
          <w:rFonts w:ascii="Times New Roman" w:cs="Times New Roman" w:eastAsia="Times New Roman" w:hAnsi="Times New Roman"/>
          <w:sz w:val="16"/>
          <w:szCs w:val="16"/>
          <w:color w:val="auto"/>
        </w:rPr>
        <w:t>. There are no legal, governmental or regulatory investigations, actions, demands, claims, suits, arbitrations, inquiries or proceedings (“</w:t>
      </w:r>
      <w:r>
        <w:rPr>
          <w:rFonts w:ascii="Times New Roman" w:cs="Times New Roman" w:eastAsia="Times New Roman" w:hAnsi="Times New Roman"/>
          <w:sz w:val="16"/>
          <w:szCs w:val="16"/>
          <w:b w:val="1"/>
          <w:bCs w:val="1"/>
          <w:color w:val="auto"/>
        </w:rPr>
        <w:t>Actions</w:t>
      </w:r>
      <w:r>
        <w:rPr>
          <w:rFonts w:ascii="Times New Roman" w:cs="Times New Roman" w:eastAsia="Times New Roman" w:hAnsi="Times New Roman"/>
          <w:sz w:val="16"/>
          <w:szCs w:val="16"/>
          <w:color w:val="auto"/>
        </w:rPr>
        <w:t>”) pending to which the Company is or may be a party or to which any property of the Company is or may be the subject that, individually or in the aggregate, if determined adversely to the Company, would reasonably be expected to have a Material Adverse Effect; to the Company’s Knowledge, no such Actions are threatened or contemplated by any governmental or regulatory authority or threatened by others that would reasonably be expected, individually or in the aggregate, to have a Material Adverse Effect. There are no current or pending Actions that are required under the Securities Act to be described in the SEC Reports that are not so described in the SEC Reports.</w:t>
      </w:r>
    </w:p>
    <w:p>
      <w:pPr>
        <w:spacing w:after="0" w:line="164" w:lineRule="exact"/>
        <w:rPr>
          <w:rFonts w:ascii="Times New Roman" w:cs="Times New Roman" w:eastAsia="Times New Roman" w:hAnsi="Times New Roman"/>
          <w:sz w:val="16"/>
          <w:szCs w:val="16"/>
          <w:color w:val="auto"/>
        </w:rPr>
      </w:pPr>
    </w:p>
    <w:p>
      <w:pPr>
        <w:jc w:val="both"/>
        <w:ind w:firstLine="282"/>
        <w:spacing w:after="0" w:line="253" w:lineRule="auto"/>
        <w:tabs>
          <w:tab w:leader="none" w:pos="47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Labor Disputes; Employment Matters</w:t>
      </w:r>
      <w:r>
        <w:rPr>
          <w:rFonts w:ascii="Times New Roman" w:cs="Times New Roman" w:eastAsia="Times New Roman" w:hAnsi="Times New Roman"/>
          <w:sz w:val="16"/>
          <w:szCs w:val="16"/>
          <w:color w:val="auto"/>
        </w:rPr>
        <w:t>. No labor disturbance by or dispute with employees of the Company exists or, to the Company’s Knowledge, is contemplated or threatened, and the Company is not aware of any existing or imminent labor disturbance by, or dispute with, the employees of any of its principal suppliers, contractors or customers, except as would not reasonably be expected to have a Material Adverse Effect. The Company has not received any notice of cancellation or termination with respect to any collective bargaining agreement to which it is a party. To the Knowledge of the Company, no executive officer of the Company (as defined in Rule 501(f) of the Securities Act)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to any liability with respect to any of the foregoing matters. The Company is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66" w:lineRule="exact"/>
        <w:rPr>
          <w:rFonts w:ascii="Times New Roman" w:cs="Times New Roman" w:eastAsia="Times New Roman" w:hAnsi="Times New Roman"/>
          <w:sz w:val="16"/>
          <w:szCs w:val="16"/>
          <w:color w:val="auto"/>
        </w:rPr>
      </w:pPr>
    </w:p>
    <w:p>
      <w:pPr>
        <w:jc w:val="both"/>
        <w:ind w:firstLine="282"/>
        <w:spacing w:after="0" w:line="252" w:lineRule="auto"/>
        <w:tabs>
          <w:tab w:leader="none" w:pos="556"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Licenses and Permits</w:t>
      </w:r>
      <w:r>
        <w:rPr>
          <w:rFonts w:ascii="Times New Roman" w:cs="Times New Roman" w:eastAsia="Times New Roman" w:hAnsi="Times New Roman"/>
          <w:sz w:val="16"/>
          <w:szCs w:val="16"/>
          <w:color w:val="auto"/>
        </w:rPr>
        <w:t>. The Company possesses, and is in compliance with the terms of, all licenses, sub-licenses, certificates, permits and other authorizations issued by, and have made all declarations and filings with, the appropriate federal, state, local or foreign governmental or regulatory authorities that are necessary for the ownership or lease of its respective properties or the conduct of its business as described in the SEC Reports, except where the failures to so possess, comply with, or make such declarations or filings would not, whether individually or in the aggregate, reasonably be expected to have a Material Adverse Effect; and the Company has not received written notice of any revocation or modification of any such license, sub-license, certificate, permit or authorization or has any reason to believe that any such license, sub-license, certificate, permit or authorization will not be renewed in the ordinary course, except for such revocations, modifications or non-renewals as would not, whether individually or in the aggregate, reasonably be expected to have a Material Adverse Effect. No event has occurred which allows, or after notice or lapse of time would allow, revocation or termination thereof or results in any other impairment of the rights of the holder, except for such revocations, terminations or impairments as would not, whether individually or in the aggregate, reasonably be expected to have a Material Adverse Effect. The Company has filed, obtained, maintained or submitted all reports, documents, forms, notices, applications, records, claims, submissions and supplements or amendments as required and that all such reports, documents, forms, notices, applications, records, claims, submissions and supplements or amendments were complete and correct on the date filed (or were corrected or supplemented by a subsequent submission) as required for maintenance of its licenses, certificates, permits and other authorizations that are necessary for the conduct of its business, except where such failures to file, obtain, maintain, submit, correct or supplement the same would not, whether individually or in the aggregate, reasonably be expected to have a Material Adverse Effect.</w:t>
      </w:r>
    </w:p>
    <w:p>
      <w:pPr>
        <w:spacing w:after="0" w:line="165" w:lineRule="exact"/>
        <w:rPr>
          <w:rFonts w:ascii="Times New Roman" w:cs="Times New Roman" w:eastAsia="Times New Roman" w:hAnsi="Times New Roman"/>
          <w:sz w:val="16"/>
          <w:szCs w:val="16"/>
          <w:color w:val="auto"/>
        </w:rPr>
      </w:pPr>
    </w:p>
    <w:p>
      <w:pPr>
        <w:jc w:val="both"/>
        <w:ind w:right="20" w:firstLine="282"/>
        <w:spacing w:after="0" w:line="259" w:lineRule="auto"/>
        <w:tabs>
          <w:tab w:leader="none" w:pos="512"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to Real and Personal Property</w:t>
      </w:r>
      <w:r>
        <w:rPr>
          <w:rFonts w:ascii="Times New Roman" w:cs="Times New Roman" w:eastAsia="Times New Roman" w:hAnsi="Times New Roman"/>
          <w:sz w:val="16"/>
          <w:szCs w:val="16"/>
          <w:color w:val="auto"/>
        </w:rPr>
        <w:t>. The Company has valid rights to lease or otherwise use, all items of real and personal property that are material to the business of the Company as currently conducted, in each case free and clear of all liens, encumbrances, claims and defects and imperfections of title except those that (i) do not materially interfere with the use made and proposed to be made of such property by the Company or (ii) could not reasonably be expected, individually or in the aggregate, to have a Material Adverse Effect.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2" w:name="page13"/>
    <w:bookmarkEnd w:id="12"/>
    <w:p>
      <w:pPr>
        <w:jc w:val="both"/>
        <w:ind w:firstLine="282"/>
        <w:spacing w:after="0" w:line="267" w:lineRule="auto"/>
        <w:tabs>
          <w:tab w:leader="none" w:pos="512"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Title to Intellectual Property</w:t>
      </w:r>
      <w:r>
        <w:rPr>
          <w:rFonts w:ascii="Times New Roman" w:cs="Times New Roman" w:eastAsia="Times New Roman" w:hAnsi="Times New Roman"/>
          <w:sz w:val="15"/>
          <w:szCs w:val="15"/>
          <w:color w:val="auto"/>
        </w:rPr>
        <w:t>. Except as disclosed in the SEC Reports, the Company owns or possesses valid and enforceable license rights under all material patents, patent applications, trademarks, service marks, trade names, trade dress, Internet domain names, copyrights, works of authorship, licenses, proprietary information and know-how (including trade secrets and other unpatented and/or unpatentable proprietary or confidential information, systems or procedures), or other intellectual property which are reasonably necessary for the conduct of its business in the manner described in the SEC Reports to be conducted (collectively, “</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and, to the Company’s Knowledge, the conduct of its business does not infringe, misappropriate or otherwise violate any valid intellectual property rights of others. The Intellectual Property has not been adjudged by a court of competent jurisdiction to be invalid or unenforceable, in whole or in part, and to the Company’s Knowledge, the Company is unaware of any facts which would form a reasonable basis for any such adjudication. The Company has not received any written notice of any claim of infringement, misappropriation or violation of any valid intellectual property rights of another, and the Company is unaware of any facts which would form a reasonable basis for a notice of any claim of infringement, misappropriation or violation of any valid intellectual property rights of another. Except as disclosed in the SEC Reports, to the Company’s Knowledge: (i) there are no third parties who have rights to any Intellectual Property, except for customary reversionary rights of third-party licensors, with respect to Intellectual Property that is disclosed in the SEC Reports as owned by or licensed to the Company; and (ii) there is no infringement by third parties of any Intellectual Property. Except as disclosed in the SEC Reports,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infringes, misappropriates, or otherwise violates, or would, upon the commercialization of any product or service described in the SEC Reports as under development, infringe, misappropriate, or otherwise violate, any valid intellectual property rights of others, and the Company is unaware of any facts which would form a reasonable basis for any such action, suit, proceeding or claim. To the Company’s Knowledge, there are no material defects in any of the material patents or patent applications included in the Intellectual Property. To the Company’s Knowledge, the Company has taken all reasonable steps to protect, maintain and safeguard their Intellectual Property, including the execution of appropriate nondisclosure or confidentiality agreements, invention assignment agreements and invention assignments with their employees, and, to the Company’s Knowledge, no employee of the Company is in or has been in violation of any material term of any of such agreements, or any restrictive covenant to or with a former employer where the basis of such violation relates to such employee’s employment with the Company. To the Company’s Knowledge, the duty of candor and good faith as required by the United States Patent and Trademark Office during the prosecution of the material United States patents and patent applications included in the Intellectual Property have been complied in all respects with; and in all foreign patent offices having similar requirements, all such requirements have been complied with in all respects. To the Company’s Knowledge, none of the Company owned Intellectual Property or technology (including information technology and outsourced arrangements) employed by the Company has been obtained or is being used by the Company in violation of any material contractual obligation binding on the Company or any of its respective officers, directors or employees or otherwise in violation of the valid rights of any persons. To the Company’s Knowledge, all material license agreements for the use of the Intellectual Property described in the SEC Reports are valid, binding upon, and enforceable by or against the parties thereto in accordance to its terms. To the Company’s Knowledge, the Company has complied in all material respects with, and is not in breach nor has received any asserted or threatened claim of breach of any material Intellectual Property license, and the Company has no Knowledge of any breach or anticipated breach by any other person to any material Intellectual Property license.</w:t>
      </w:r>
    </w:p>
    <w:p>
      <w:pPr>
        <w:spacing w:after="0" w:line="362" w:lineRule="exact"/>
        <w:rPr>
          <w:rFonts w:ascii="Times New Roman" w:cs="Times New Roman" w:eastAsia="Times New Roman" w:hAnsi="Times New Roman"/>
          <w:sz w:val="15"/>
          <w:szCs w:val="15"/>
          <w:color w:val="auto"/>
        </w:rPr>
      </w:pPr>
    </w:p>
    <w:p>
      <w:pPr>
        <w:jc w:val="both"/>
        <w:ind w:firstLine="282"/>
        <w:spacing w:after="0" w:line="257" w:lineRule="auto"/>
        <w:tabs>
          <w:tab w:leader="none" w:pos="524"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Trade Secrets</w:t>
      </w:r>
      <w:r>
        <w:rPr>
          <w:rFonts w:ascii="Times New Roman" w:cs="Times New Roman" w:eastAsia="Times New Roman" w:hAnsi="Times New Roman"/>
          <w:sz w:val="16"/>
          <w:szCs w:val="16"/>
          <w:color w:val="auto"/>
        </w:rPr>
        <w:t>. The Company has taken reasonable and customary actions to protect their rights in and prevent the unauthorized use and disclosure of material trade secrets and confidential business information (including confidential source code, ideas, research and development information, know-how, formulas, compositions, technical data, designs, drawings, specifications, research records, records of inventions, test information, financial, marketing and business data, customer and supplier lists and information, pricing and cost information, business and marketing plans and proposals) owned by the Company, and, to the Company’s Knowledge, there has been no unauthorized use or disclosure.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p>
      <w:pPr>
        <w:jc w:val="both"/>
        <w:ind w:left="4" w:firstLine="282"/>
        <w:spacing w:after="0" w:line="251" w:lineRule="auto"/>
        <w:tabs>
          <w:tab w:leader="none" w:pos="54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IT Assets, Data Privacy and Security</w:t>
      </w:r>
      <w:r>
        <w:rPr>
          <w:rFonts w:ascii="Times New Roman" w:cs="Times New Roman" w:eastAsia="Times New Roman" w:hAnsi="Times New Roman"/>
          <w:sz w:val="16"/>
          <w:szCs w:val="16"/>
          <w:color w:val="auto"/>
        </w:rPr>
        <w:t>. Except as would not, individually or in the aggregate, reasonably be expected to have a Material Adverse Effect, (i) the computers, websites, applications, databases, software, servers, networks, data communications lines, and other information technology systems owned, licensed, leased or otherwise used by the Company (including any third party technology or services used by the Company but excluding any public networks) (collectively, the “</w:t>
      </w:r>
      <w:r>
        <w:rPr>
          <w:rFonts w:ascii="Times New Roman" w:cs="Times New Roman" w:eastAsia="Times New Roman" w:hAnsi="Times New Roman"/>
          <w:sz w:val="16"/>
          <w:szCs w:val="16"/>
          <w:b w:val="1"/>
          <w:bCs w:val="1"/>
          <w:color w:val="auto"/>
        </w:rPr>
        <w:t>IT Assets</w:t>
      </w:r>
      <w:r>
        <w:rPr>
          <w:rFonts w:ascii="Times New Roman" w:cs="Times New Roman" w:eastAsia="Times New Roman" w:hAnsi="Times New Roman"/>
          <w:sz w:val="16"/>
          <w:szCs w:val="16"/>
          <w:color w:val="auto"/>
        </w:rPr>
        <w:t>”) operate and perform as necessary for the operation of the business of the Company as currently conducted, (ii) to the Company’s Knowledge, the IT Assets are free and clear of all viruses, vulnerabilities, bugs, errors, defects, Trojan horses, time bombs, malware and other malicious code, and (iii) the Company has implemented and maintained commercially reasonable controls, policies, procedures, and safeguards to maintain and protect their confidential information and the privacy, confidentiality, integrity, and security of all IT Assets and data (including all Personal Data (defined below), sensitive, confidential, or regulated data (collectively, “</w:t>
      </w:r>
      <w:r>
        <w:rPr>
          <w:rFonts w:ascii="Times New Roman" w:cs="Times New Roman" w:eastAsia="Times New Roman" w:hAnsi="Times New Roman"/>
          <w:sz w:val="16"/>
          <w:szCs w:val="16"/>
          <w:b w:val="1"/>
          <w:bCs w:val="1"/>
          <w:color w:val="auto"/>
        </w:rPr>
        <w:t>Confidential Data</w:t>
      </w:r>
      <w:r>
        <w:rPr>
          <w:rFonts w:ascii="Times New Roman" w:cs="Times New Roman" w:eastAsia="Times New Roman" w:hAnsi="Times New Roman"/>
          <w:sz w:val="16"/>
          <w:szCs w:val="16"/>
          <w:color w:val="auto"/>
        </w:rPr>
        <w:t>”)) used in connection with their businesses. Except as would not, individually or in the aggregate, reasonably be expected to have a Material Adverse Effect, there have been no breaches, outages, or unauthorized uses of, or accesses to IT Assets or Confidential Data (each, a “</w:t>
      </w:r>
      <w:r>
        <w:rPr>
          <w:rFonts w:ascii="Times New Roman" w:cs="Times New Roman" w:eastAsia="Times New Roman" w:hAnsi="Times New Roman"/>
          <w:sz w:val="16"/>
          <w:szCs w:val="16"/>
          <w:b w:val="1"/>
          <w:bCs w:val="1"/>
          <w:color w:val="auto"/>
        </w:rPr>
        <w:t>Breach</w:t>
      </w:r>
      <w:r>
        <w:rPr>
          <w:rFonts w:ascii="Times New Roman" w:cs="Times New Roman" w:eastAsia="Times New Roman" w:hAnsi="Times New Roman"/>
          <w:sz w:val="16"/>
          <w:szCs w:val="16"/>
          <w:color w:val="auto"/>
        </w:rPr>
        <w:t>”), nor any Breaches under internal review or investigation by the Company in relation to the same. Except as would not, individually or in the aggregate, reasonably be expected to have a Material Adverse Effect, the Company complies, and has complied, with all applicable state and federal data privacy and security laws and regulations and industry standards applicable to the performance of Company’s obligations under any contracts regarding the collection, use, storage, retention, disclosure, transfer, disposal, or any other processing (collectively “</w:t>
      </w:r>
      <w:r>
        <w:rPr>
          <w:rFonts w:ascii="Times New Roman" w:cs="Times New Roman" w:eastAsia="Times New Roman" w:hAnsi="Times New Roman"/>
          <w:sz w:val="16"/>
          <w:szCs w:val="16"/>
          <w:b w:val="1"/>
          <w:bCs w:val="1"/>
          <w:color w:val="auto"/>
        </w:rPr>
        <w:t>Process</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Processing</w:t>
      </w:r>
      <w:r>
        <w:rPr>
          <w:rFonts w:ascii="Times New Roman" w:cs="Times New Roman" w:eastAsia="Times New Roman" w:hAnsi="Times New Roman"/>
          <w:sz w:val="16"/>
          <w:szCs w:val="16"/>
          <w:color w:val="auto"/>
        </w:rPr>
        <w:t>”) and privacy, confidentiality, integrity and security of Personal Data (“</w:t>
      </w:r>
      <w:r>
        <w:rPr>
          <w:rFonts w:ascii="Times New Roman" w:cs="Times New Roman" w:eastAsia="Times New Roman" w:hAnsi="Times New Roman"/>
          <w:sz w:val="16"/>
          <w:szCs w:val="16"/>
          <w:b w:val="1"/>
          <w:bCs w:val="1"/>
          <w:color w:val="auto"/>
        </w:rPr>
        <w:t>Privacy Laws</w:t>
      </w:r>
      <w:r>
        <w:rPr>
          <w:rFonts w:ascii="Times New Roman" w:cs="Times New Roman" w:eastAsia="Times New Roman" w:hAnsi="Times New Roman"/>
          <w:sz w:val="16"/>
          <w:szCs w:val="16"/>
          <w:color w:val="auto"/>
        </w:rPr>
        <w:t>”). To ensure compliance with the Privacy Laws, the Company has in place, comply with, and take appropriate steps designed to ensure compliance in all material respects with the Company’s policies and procedures relating to data privacy and security and the collection, storage, use, disclosure, handling, and analysis of Confidential Data (the “</w:t>
      </w:r>
      <w:r>
        <w:rPr>
          <w:rFonts w:ascii="Times New Roman" w:cs="Times New Roman" w:eastAsia="Times New Roman" w:hAnsi="Times New Roman"/>
          <w:sz w:val="16"/>
          <w:szCs w:val="16"/>
          <w:b w:val="1"/>
          <w:bCs w:val="1"/>
          <w:color w:val="auto"/>
        </w:rPr>
        <w:t>Policies</w:t>
      </w:r>
      <w:r>
        <w:rPr>
          <w:rFonts w:ascii="Times New Roman" w:cs="Times New Roman" w:eastAsia="Times New Roman" w:hAnsi="Times New Roman"/>
          <w:sz w:val="16"/>
          <w:szCs w:val="16"/>
          <w:color w:val="auto"/>
        </w:rPr>
        <w:t>”). The Company and, to the Company’s Knowledge, any third parties performing operations involving Personal Data on behalf of Company, have at all times made all required disclosures to and obtained all necessary consents from the data subjects from whom such Personal Data was and will be collected, except where the failure to make such disclosures or obtain such consents would not, individually or in the aggregate, reasonably be expected to have a Material Adverse Effect. “</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all information that relates to an identified or identifiable individual and is regulated as “personal data,” “personal information,” “individually identifiable health information,” “protected health information,” “personally identifiable information,” or any similar information under any Privacy Law.</w:t>
      </w:r>
    </w:p>
    <w:p>
      <w:pPr>
        <w:spacing w:after="0" w:line="164" w:lineRule="exact"/>
        <w:rPr>
          <w:rFonts w:ascii="Times New Roman" w:cs="Times New Roman" w:eastAsia="Times New Roman" w:hAnsi="Times New Roman"/>
          <w:sz w:val="16"/>
          <w:szCs w:val="16"/>
          <w:color w:val="auto"/>
        </w:rPr>
      </w:pPr>
    </w:p>
    <w:p>
      <w:pPr>
        <w:ind w:left="4" w:firstLine="282"/>
        <w:spacing w:after="0" w:line="283" w:lineRule="auto"/>
        <w:tabs>
          <w:tab w:leader="none" w:pos="49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eXtensible Business Reporting Language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The interactive data in eXtensible Business Reporting Language included in the SEC Reports fairly presents the information called for in all material respects and has been prepared in accordance with the Commission’s rules and guidelines applicable thereto.</w:t>
      </w:r>
    </w:p>
    <w:p>
      <w:pPr>
        <w:spacing w:after="0" w:line="141" w:lineRule="exact"/>
        <w:rPr>
          <w:rFonts w:ascii="Times New Roman" w:cs="Times New Roman" w:eastAsia="Times New Roman" w:hAnsi="Times New Roman"/>
          <w:sz w:val="16"/>
          <w:szCs w:val="16"/>
          <w:color w:val="auto"/>
        </w:rPr>
      </w:pPr>
    </w:p>
    <w:p>
      <w:pPr>
        <w:jc w:val="both"/>
        <w:ind w:left="4" w:firstLine="282"/>
        <w:spacing w:after="0" w:line="260" w:lineRule="auto"/>
        <w:tabs>
          <w:tab w:leader="none" w:pos="499"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Company has insurance covering its properties, operations, personnel and businesses, including business interruption insurance, which insurance is in amounts and insures against such losses and risks as the Company reasonably believes are adequate to protect the Company and its business; and the Company has not</w:t>
      </w:r>
    </w:p>
    <w:p>
      <w:pPr>
        <w:jc w:val="both"/>
        <w:ind w:left="4" w:hanging="4"/>
        <w:spacing w:after="0" w:line="254" w:lineRule="auto"/>
        <w:tabs>
          <w:tab w:leader="none" w:pos="207"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63" w:lineRule="exact"/>
        <w:rPr>
          <w:rFonts w:ascii="Times New Roman" w:cs="Times New Roman" w:eastAsia="Times New Roman" w:hAnsi="Times New Roman"/>
          <w:sz w:val="16"/>
          <w:szCs w:val="16"/>
          <w:color w:val="auto"/>
        </w:rPr>
      </w:pPr>
    </w:p>
    <w:p>
      <w:pPr>
        <w:jc w:val="both"/>
        <w:ind w:left="4" w:firstLine="282"/>
        <w:spacing w:after="0" w:line="265" w:lineRule="auto"/>
        <w:tabs>
          <w:tab w:leader="none" w:pos="493"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Undisclosed Relationships</w:t>
      </w:r>
      <w:r>
        <w:rPr>
          <w:rFonts w:ascii="Times New Roman" w:cs="Times New Roman" w:eastAsia="Times New Roman" w:hAnsi="Times New Roman"/>
          <w:sz w:val="16"/>
          <w:szCs w:val="16"/>
          <w:color w:val="auto"/>
        </w:rPr>
        <w:t>. No relationship, direct or indirect, exists between or among the Company, on the one hand, and the directors, officers, stockholders, customers, suppliers or other affiliates of the Company, on the other, that is required by the Securities Act to be described in the SEC Reports and that is not so described in such documents.</w:t>
      </w:r>
    </w:p>
    <w:p>
      <w:pPr>
        <w:spacing w:after="0" w:line="155" w:lineRule="exact"/>
        <w:rPr>
          <w:rFonts w:ascii="Times New Roman" w:cs="Times New Roman" w:eastAsia="Times New Roman" w:hAnsi="Times New Roman"/>
          <w:sz w:val="16"/>
          <w:szCs w:val="16"/>
          <w:color w:val="auto"/>
        </w:rPr>
      </w:pPr>
    </w:p>
    <w:p>
      <w:pPr>
        <w:jc w:val="both"/>
        <w:ind w:left="4" w:right="20" w:firstLine="282"/>
        <w:spacing w:after="0" w:line="253" w:lineRule="auto"/>
        <w:tabs>
          <w:tab w:leader="none" w:pos="52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Internal Accounting Controls</w:t>
      </w:r>
      <w:r>
        <w:rPr>
          <w:rFonts w:ascii="Times New Roman" w:cs="Times New Roman" w:eastAsia="Times New Roman" w:hAnsi="Times New Roman"/>
          <w:sz w:val="16"/>
          <w:szCs w:val="16"/>
          <w:color w:val="auto"/>
        </w:rPr>
        <w:t>. Except as disclosed in the SEC Reports, the Company maintains a system of “internal control over financial reporting” (as defined in Rule 13a-15(f) of the Exchange Act) that are reasonably designed to comply with the applicable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Except as disclosed in the SEC Reports, the Company maintains internal accounting controls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w:t>
      </w:r>
    </w:p>
    <w:p>
      <w:pPr>
        <w:jc w:val="both"/>
        <w:ind w:left="4" w:right="20" w:hanging="4"/>
        <w:spacing w:after="0" w:line="249" w:lineRule="auto"/>
        <w:tabs>
          <w:tab w:leader="none" w:pos="29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and (v) interactive data in eXtensible Business Reporting Language included in the SEC Reports fairly presents the information called for in all material respects and is prepared in accordance with the Commission’s rules and guidelines applicable thereto. Except as disclosed in the SEC Reports, there are no material weaknesses in the Company’s internal controls. The Company’s auditors and the Audit Committee of the Board of Directors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244" w:hanging="244"/>
        <w:spacing w:after="0"/>
        <w:tabs>
          <w:tab w:leader="none" w:pos="244"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controls over financial reporting.</w:t>
      </w:r>
    </w:p>
    <w:p>
      <w:pPr>
        <w:spacing w:after="0" w:line="3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 w:name="page15"/>
    <w:bookmarkEnd w:id="14"/>
    <w:p>
      <w:pPr>
        <w:jc w:val="both"/>
        <w:ind w:right="20" w:firstLine="282"/>
        <w:spacing w:after="0" w:line="254" w:lineRule="auto"/>
        <w:tabs>
          <w:tab w:leader="none" w:pos="5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Sarbanes-Oxley; Disclosure Controls</w:t>
      </w:r>
      <w:r>
        <w:rPr>
          <w:rFonts w:ascii="Times New Roman" w:cs="Times New Roman" w:eastAsia="Times New Roman" w:hAnsi="Times New Roman"/>
          <w:sz w:val="16"/>
          <w:szCs w:val="16"/>
          <w:color w:val="auto"/>
        </w:rPr>
        <w:t>.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The Company maintains an effective system of “disclosure controls 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w:t>
      </w:r>
    </w:p>
    <w:p>
      <w:pPr>
        <w:spacing w:after="0" w:line="166" w:lineRule="exact"/>
        <w:rPr>
          <w:rFonts w:ascii="Times New Roman" w:cs="Times New Roman" w:eastAsia="Times New Roman" w:hAnsi="Times New Roman"/>
          <w:sz w:val="16"/>
          <w:szCs w:val="16"/>
          <w:color w:val="auto"/>
        </w:rPr>
      </w:pPr>
    </w:p>
    <w:p>
      <w:pPr>
        <w:jc w:val="both"/>
        <w:ind w:firstLine="282"/>
        <w:spacing w:after="0" w:line="257" w:lineRule="auto"/>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Fees</w:t>
      </w:r>
      <w:r>
        <w:rPr>
          <w:rFonts w:ascii="Times New Roman" w:cs="Times New Roman" w:eastAsia="Times New Roman" w:hAnsi="Times New Roman"/>
          <w:sz w:val="16"/>
          <w:szCs w:val="16"/>
          <w:color w:val="auto"/>
        </w:rPr>
        <w:t>. No person or entity will have, as a result of the transactions contemplated by this Agreement, any valid right, interest or claim against or upon the Company or a Purchaser for any commission, fee or other compensation pursuant to any agreement, arrangement or understanding entered into by or on behalf of the Company, other than the Placement Agents with respect to the offer and sale of the Shares (which placement agent fees are being paid by the Company). The Purchasers shall have no obligation with respect to any fees or with respect to any claims made by or on behalf of other Persons for fees of a type contemplated in this paragraph (w) that may be due in connection with the transactions contemplated by the Transaction Documents.</w:t>
      </w:r>
    </w:p>
    <w:p>
      <w:pPr>
        <w:spacing w:after="0" w:line="162"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1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Investment Company</w:t>
      </w:r>
      <w:r>
        <w:rPr>
          <w:rFonts w:ascii="Times New Roman" w:cs="Times New Roman" w:eastAsia="Times New Roman" w:hAnsi="Times New Roman"/>
          <w:sz w:val="16"/>
          <w:szCs w:val="16"/>
          <w:color w:val="auto"/>
        </w:rPr>
        <w:t>. The Company is not and, after giving effect to the offering and sale of the Shares, will not be, required to register as an “investment company” or an entity “controlled” by an “investment company” within the meaning of the Investment Company Act of 1940, as amended, and the rules and regulations of the Commission thereunder.</w:t>
      </w:r>
    </w:p>
    <w:p>
      <w:pPr>
        <w:spacing w:after="0" w:line="155" w:lineRule="exact"/>
        <w:rPr>
          <w:rFonts w:ascii="Times New Roman" w:cs="Times New Roman" w:eastAsia="Times New Roman" w:hAnsi="Times New Roman"/>
          <w:sz w:val="16"/>
          <w:szCs w:val="16"/>
          <w:color w:val="auto"/>
        </w:rPr>
      </w:pPr>
    </w:p>
    <w:p>
      <w:pPr>
        <w:jc w:val="both"/>
        <w:ind w:firstLine="282"/>
        <w:spacing w:after="0" w:line="254" w:lineRule="auto"/>
        <w:tabs>
          <w:tab w:leader="none" w:pos="524"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Listing and Maintenance Requirements</w:t>
      </w:r>
      <w:r>
        <w:rPr>
          <w:rFonts w:ascii="Times New Roman" w:cs="Times New Roman" w:eastAsia="Times New Roman" w:hAnsi="Times New Roman"/>
          <w:sz w:val="16"/>
          <w:szCs w:val="16"/>
          <w:color w:val="auto"/>
        </w:rPr>
        <w:t>. The ADSs are registered pursuant to Section 12(b) or 12(g) of the Exchange Act, and the Company has taken no action designed to terminate the registration of the ADSs under the Exchange Act nor has the Company received any notification that the Commission is contemplating terminating such registration. The Company has not, in the twelve (12) months preceding the date hereof, received written notice from any Trading Market on which the ADSs are listed or quoted to the effect that the Company is not in compliance with the listing or maintenance requirements of such Trading Market. The Company is in compliance with all listing and maintenance requirements of the principal Trading Market. The Company agrees to maintain the eligibility of the ADSs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66" w:lineRule="exact"/>
        <w:rPr>
          <w:rFonts w:ascii="Times New Roman" w:cs="Times New Roman" w:eastAsia="Times New Roman" w:hAnsi="Times New Roman"/>
          <w:sz w:val="16"/>
          <w:szCs w:val="16"/>
          <w:color w:val="auto"/>
        </w:rPr>
      </w:pPr>
    </w:p>
    <w:p>
      <w:pPr>
        <w:jc w:val="both"/>
        <w:ind w:firstLine="282"/>
        <w:spacing w:after="0" w:line="257" w:lineRule="auto"/>
        <w:tabs>
          <w:tab w:leader="none" w:pos="527"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Application of Takeover Protections; Rights Agreements</w:t>
      </w:r>
      <w:r>
        <w:rPr>
          <w:rFonts w:ascii="Times New Roman" w:cs="Times New Roman" w:eastAsia="Times New Roman" w:hAnsi="Times New Roman"/>
          <w:sz w:val="16"/>
          <w:szCs w:val="16"/>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associations or the laws of its state of incorporation that is or could reasonably be expected to become applicable to any of the Purchasers as a result of the Purchasers and the Company fulfilling their obligations or exercising their rights under the Transaction Documents, including, without limitation, the Company’s issuance of the Shares and the Purchasers’ ownership of the Shares.</w:t>
      </w:r>
    </w:p>
    <w:p>
      <w:pPr>
        <w:spacing w:after="0" w:line="162" w:lineRule="exact"/>
        <w:rPr>
          <w:sz w:val="20"/>
          <w:szCs w:val="20"/>
          <w:color w:val="auto"/>
        </w:rPr>
      </w:pPr>
    </w:p>
    <w:p>
      <w:pPr>
        <w:jc w:val="both"/>
        <w:ind w:right="20" w:firstLine="282"/>
        <w:spacing w:after="0" w:line="257" w:lineRule="auto"/>
        <w:tabs>
          <w:tab w:leader="none" w:pos="58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xml:space="preserve">. The Company confirms that neither it nor any of its officers or directors nor any other Person acting on its or their behalf has provided, and it has not authorized the Placement Agents to provide, the Purchasers or their respective agents or counsel with any information that it believes constitutes material, non-public information except insofar as the existence, provisions and terms of the Transaction Documents and the proposed transactions hereunder may constitute such information, all of which will be disclosed by the Company in the press release as contemplated by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hereof. The Company understands and confirms that the Purchasers will rely on the foregoing representations in effecting transactions in securities of the Company.</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 w:name="page16"/>
    <w:bookmarkEnd w:id="15"/>
    <w:p>
      <w:pPr>
        <w:jc w:val="both"/>
        <w:ind w:firstLine="282"/>
        <w:spacing w:after="0" w:line="257" w:lineRule="auto"/>
        <w:tabs>
          <w:tab w:leader="none" w:pos="59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Integrated Offering</w:t>
      </w:r>
      <w:r>
        <w:rPr>
          <w:rFonts w:ascii="Times New Roman" w:cs="Times New Roman" w:eastAsia="Times New Roman" w:hAnsi="Times New Roman"/>
          <w:sz w:val="16"/>
          <w:szCs w:val="16"/>
          <w:color w:val="auto"/>
        </w:rPr>
        <w:t xml:space="preserve">. Assuming the accuracy of the Purchasers’ representations and warranties set forth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neither the Company, nor any of its Affiliates or any Person acting on its behalf has, directly or indirectly, at any time within the past six (6) months, made any offers or sales of any Company security or solicited any offers to buy any security under circumstances that would cause the offering of the Shares pursuant to the Transaction Documents to be integrated with prior offerings by the Company for purposes of any applicable law, regulation or stockholder approval provisions, including, without limitation, under the rules and regulations of any Trading Market on which any of the securities of the Company are listed or designated.</w:t>
      </w:r>
    </w:p>
    <w:p>
      <w:pPr>
        <w:spacing w:after="0" w:line="162" w:lineRule="exact"/>
        <w:rPr>
          <w:rFonts w:ascii="Times New Roman" w:cs="Times New Roman" w:eastAsia="Times New Roman" w:hAnsi="Times New Roman"/>
          <w:sz w:val="16"/>
          <w:szCs w:val="16"/>
          <w:color w:val="auto"/>
        </w:rPr>
      </w:pPr>
    </w:p>
    <w:p>
      <w:pPr>
        <w:jc w:val="both"/>
        <w:ind w:firstLine="282"/>
        <w:spacing w:after="0" w:line="259" w:lineRule="auto"/>
        <w:tabs>
          <w:tab w:leader="none" w:pos="57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Except as would not reasonably be expected to have a Material Adverse Effect, the Company has paid all federal, state, local and foreign taxes and filed all tax returns required to be paid or filed through the date hereof unless such taxes are being contested in good faith by appropriate proceedings for which reserves are being maintained in accordance with generally accepted accounting principles, and, except as otherwise disclosed in the SEC Reports or as would not reasonably be expected to have a Material Adverse Effect, there is no tax deficiency that has been, or could reasonably be expected to be, asserted against the Company or any of its properties or assets.</w:t>
      </w:r>
    </w:p>
    <w:p>
      <w:pPr>
        <w:spacing w:after="0" w:line="161" w:lineRule="exact"/>
        <w:rPr>
          <w:rFonts w:ascii="Times New Roman" w:cs="Times New Roman" w:eastAsia="Times New Roman" w:hAnsi="Times New Roman"/>
          <w:sz w:val="16"/>
          <w:szCs w:val="16"/>
          <w:color w:val="auto"/>
        </w:rPr>
      </w:pPr>
    </w:p>
    <w:p>
      <w:pPr>
        <w:jc w:val="both"/>
        <w:ind w:firstLine="282"/>
        <w:spacing w:after="0" w:line="252" w:lineRule="auto"/>
        <w:tabs>
          <w:tab w:leader="none" w:pos="592"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(i) The Company (x) is in compliance with all, and have not violated any, applicable federal, state, local and foreign laws (including common law),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Times New Roman" w:cs="Times New Roman" w:eastAsia="Times New Roman" w:hAnsi="Times New Roman"/>
          <w:sz w:val="16"/>
          <w:szCs w:val="16"/>
          <w:b w:val="1"/>
          <w:bCs w:val="1"/>
          <w:color w:val="auto"/>
        </w:rPr>
        <w:t>Environmental Laws</w:t>
      </w:r>
      <w:r>
        <w:rPr>
          <w:rFonts w:ascii="Times New Roman" w:cs="Times New Roman" w:eastAsia="Times New Roman" w:hAnsi="Times New Roman"/>
          <w:sz w:val="16"/>
          <w:szCs w:val="16"/>
          <w:color w:val="auto"/>
        </w:rPr>
        <w:t>”); (y) has received and is in compliance with all, and have not violated any, permits, licenses, certificates or other authorizations or approvals required of them under any Environmental Laws to conduct its business; and (z) has not received written notice of any actual or potential liability or obligation under or relating to, or any actual or potential violation of, any Environmental Laws, including for the investigation or remediation of any disposal or release of hazardous or toxic substances or wastes, pollutants or contaminants, and have no Knowledge of any event or condition that would reasonably be expected to result in any such notice; (ii) there are no costs or liabilities associated with Environmental Laws of or relating to the Company, except in the case of each of (i) and (ii) above, for any such matter as would not, individually or in the aggregate, reasonably be expected to have a Material Adverse Effect; and (iii) (x) there is no proceeding that is pending, or to the Company’s Knowledge contemplated, against the Company under any Environmental Laws in which a governmental entity is also a party, other than such proceeding regarding which the Company reasonably believes no monetary sanctions of $100,000 or more will be imposed, (y) the Company is not aware of any facts or issues regarding compliance with Environmental Laws, or liabilities or other obligations under Environmental Laws or concerning hazardous or toxic substances or wastes, pollutants or contaminants, that could reasonably be expected to have a Material Adverse Effect, and (z) the Company does not anticipate material capital expenditures relating to any Environmental Laws.</w:t>
      </w:r>
    </w:p>
    <w:p>
      <w:pPr>
        <w:spacing w:after="0" w:line="165" w:lineRule="exact"/>
        <w:rPr>
          <w:rFonts w:ascii="Times New Roman" w:cs="Times New Roman" w:eastAsia="Times New Roman" w:hAnsi="Times New Roman"/>
          <w:sz w:val="16"/>
          <w:szCs w:val="16"/>
          <w:color w:val="auto"/>
        </w:rPr>
      </w:pPr>
    </w:p>
    <w:p>
      <w:pPr>
        <w:jc w:val="both"/>
        <w:ind w:firstLine="282"/>
        <w:spacing w:after="0" w:line="252" w:lineRule="auto"/>
        <w:tabs>
          <w:tab w:leader="none" w:pos="574"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Hazardous Materials</w:t>
      </w:r>
      <w:r>
        <w:rPr>
          <w:rFonts w:ascii="Times New Roman" w:cs="Times New Roman" w:eastAsia="Times New Roman" w:hAnsi="Times New Roman"/>
          <w:sz w:val="16"/>
          <w:szCs w:val="16"/>
          <w:color w:val="auto"/>
        </w:rPr>
        <w:t>. There has been no storage, generation, transportation, use, handling, treatment, Release or threat of Release of Hazardous Materials by, relating to or caused by the Company (or, to the Company’s Knowledge, any other entity (including any predecessor) for whose acts or omissions the Company is or could reasonably be expected to be liable) at, on, under or from any property or facility now or previously owned, operated or leased by the Company, or, to the Company’s Knowledge, at, on, under or from any other property or facility,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w:t>
      </w:r>
      <w:r>
        <w:rPr>
          <w:rFonts w:ascii="Times New Roman" w:cs="Times New Roman" w:eastAsia="Times New Roman" w:hAnsi="Times New Roman"/>
          <w:sz w:val="16"/>
          <w:szCs w:val="16"/>
          <w:b w:val="1"/>
          <w:bCs w:val="1"/>
          <w:color w:val="auto"/>
        </w:rPr>
        <w:t>Hazardous Materials</w:t>
      </w:r>
      <w:r>
        <w:rPr>
          <w:rFonts w:ascii="Times New Roman" w:cs="Times New Roman" w:eastAsia="Times New Roman" w:hAnsi="Times New Roman"/>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Times New Roman" w:cs="Times New Roman" w:eastAsia="Times New Roman" w:hAnsi="Times New Roman"/>
          <w:sz w:val="16"/>
          <w:szCs w:val="16"/>
          <w:b w:val="1"/>
          <w:bCs w:val="1"/>
          <w:color w:val="auto"/>
        </w:rPr>
        <w:t>Release</w:t>
      </w:r>
      <w:r>
        <w:rPr>
          <w:rFonts w:ascii="Times New Roman" w:cs="Times New Roman" w:eastAsia="Times New Roman" w:hAnsi="Times New Roman"/>
          <w:sz w:val="16"/>
          <w:szCs w:val="16"/>
          <w:color w:val="auto"/>
        </w:rPr>
        <w:t>” means any spilling, leaking, seepage, pumping, pouring, emitting, emptying, discharging, injecting, escaping, leaching, dumping, disposing, depositing, dispersing, or migrating in, into or through the environment, or in, into from or through any building or structure.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firstLine="282"/>
        <w:spacing w:after="0" w:line="252" w:lineRule="auto"/>
        <w:tabs>
          <w:tab w:leader="none" w:pos="54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Unlawful Payments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None of the Company or, to the Company’s Knowledge, any director, officer or employee of the Company or any agent, affiliate or other person acting on behalf of the Company, has (i) used any corporate funds for any unlawful contribution, gift, entertainment or other unlawful expense relating to political activity; (ii) made or taken an act in furtherance of an offer, promise or authorization of any direct or indirect unlawful payment or unlawful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will not use, directly or indirectly, the proceeds of the offering in furtherance of an offer, payment, promise to pay, or authorization of the payment or giving of money, or anything else of value, to any person in violation of any applicable anti-bribery or anti-corruption laws. The Company maintains and enforces policies and procedures designed to promote and ensure compliance with all applicable anti-bribery and anti-corruption laws.</w:t>
      </w:r>
    </w:p>
    <w:p>
      <w:pPr>
        <w:spacing w:after="0" w:line="169" w:lineRule="exact"/>
        <w:rPr>
          <w:rFonts w:ascii="Times New Roman" w:cs="Times New Roman" w:eastAsia="Times New Roman" w:hAnsi="Times New Roman"/>
          <w:sz w:val="16"/>
          <w:szCs w:val="16"/>
          <w:color w:val="auto"/>
        </w:rPr>
      </w:pPr>
    </w:p>
    <w:p>
      <w:pPr>
        <w:jc w:val="both"/>
        <w:ind w:firstLine="282"/>
        <w:spacing w:after="0" w:line="255" w:lineRule="auto"/>
        <w:tabs>
          <w:tab w:leader="none" w:pos="59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Regarding Purchasers’ Purchase of Shares</w:t>
      </w:r>
      <w:r>
        <w:rPr>
          <w:rFonts w:ascii="Times New Roman" w:cs="Times New Roman" w:eastAsia="Times New Roman" w:hAnsi="Times New Roman"/>
          <w:sz w:val="16"/>
          <w:szCs w:val="16"/>
          <w:color w:val="auto"/>
        </w:rPr>
        <w:t>. The Company acknowledges and agrees that each Purchaser is acting solely in the capacity of an arm’s length purchaser with respect to the Transaction Documents and the transactions contemplated hereby and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the Purchasers that the Company’s decision to enter into this Agreement and the other Transaction Documents has been based solely on the independent evaluation of the transactions contemplated hereby by the Company and its representatives.</w:t>
      </w:r>
    </w:p>
    <w:p>
      <w:pPr>
        <w:spacing w:after="0" w:line="165" w:lineRule="exact"/>
        <w:rPr>
          <w:rFonts w:ascii="Times New Roman" w:cs="Times New Roman" w:eastAsia="Times New Roman" w:hAnsi="Times New Roman"/>
          <w:sz w:val="16"/>
          <w:szCs w:val="16"/>
          <w:color w:val="auto"/>
        </w:rPr>
      </w:pPr>
    </w:p>
    <w:p>
      <w:pPr>
        <w:jc w:val="both"/>
        <w:ind w:firstLine="282"/>
        <w:spacing w:after="0" w:line="251" w:lineRule="auto"/>
        <w:tabs>
          <w:tab w:leader="none" w:pos="592"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 with Sanctions Laws</w:t>
      </w:r>
      <w:r>
        <w:rPr>
          <w:rFonts w:ascii="Times New Roman" w:cs="Times New Roman" w:eastAsia="Times New Roman" w:hAnsi="Times New Roman"/>
          <w:sz w:val="16"/>
          <w:szCs w:val="16"/>
          <w:color w:val="auto"/>
        </w:rPr>
        <w:t>. None of the Company or, to the Company’s Knowledge, any director, officer, or employee, or any agent, affiliate or other person associated with or acting on behalf of the Company is currently the subject or the target of any economic, financial or trade sanctions administered or enforced by the U.S. government, (including, without limitation, the Office of Foreign Assets Control of the U.S. Department of the Treasury or the U.S. Department of State and including, without limitation, the designation as a “</w:t>
      </w:r>
      <w:r>
        <w:rPr>
          <w:rFonts w:ascii="Times New Roman" w:cs="Times New Roman" w:eastAsia="Times New Roman" w:hAnsi="Times New Roman"/>
          <w:sz w:val="16"/>
          <w:szCs w:val="16"/>
          <w:b w:val="1"/>
          <w:bCs w:val="1"/>
          <w:color w:val="auto"/>
        </w:rPr>
        <w:t>specially designated national</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b w:val="1"/>
          <w:bCs w:val="1"/>
          <w:color w:val="auto"/>
        </w:rPr>
        <w:t>blocked person</w:t>
      </w:r>
      <w:r>
        <w:rPr>
          <w:rFonts w:ascii="Times New Roman" w:cs="Times New Roman" w:eastAsia="Times New Roman" w:hAnsi="Times New Roman"/>
          <w:sz w:val="16"/>
          <w:szCs w:val="16"/>
          <w:color w:val="auto"/>
        </w:rPr>
        <w:t>”), the United Nations Security Council, the European Union, His Majesty’s Treasury, the Swiss Secretariat of Economic Affairs, or other relevant sanctions authority (collectively, “</w:t>
      </w:r>
      <w:r>
        <w:rPr>
          <w:rFonts w:ascii="Times New Roman" w:cs="Times New Roman" w:eastAsia="Times New Roman" w:hAnsi="Times New Roman"/>
          <w:sz w:val="16"/>
          <w:szCs w:val="16"/>
          <w:b w:val="1"/>
          <w:bCs w:val="1"/>
          <w:color w:val="auto"/>
        </w:rPr>
        <w:t>Sanctions</w:t>
      </w:r>
      <w:r>
        <w:rPr>
          <w:rFonts w:ascii="Times New Roman" w:cs="Times New Roman" w:eastAsia="Times New Roman" w:hAnsi="Times New Roman"/>
          <w:sz w:val="16"/>
          <w:szCs w:val="16"/>
          <w:color w:val="auto"/>
        </w:rPr>
        <w:t>”), nor is the Company, or, to the Company’s Knowledge, any director, officer, or employee, or any agent, affiliate or other person associated with or acting on behalf of the Company, is located, organized or resident in a country or territory that is the subject or target of Sanctions, including, without limitation, the Crimea Region of Ukraine, the so-called Donetsk People’s Republic, the so-called Luhansk People’s Republic and the non-government controlled areas of the Zaporizhzhia and Kherson Regions, Cuba, Iran, North Korea and Syria (each, a “</w:t>
      </w:r>
      <w:r>
        <w:rPr>
          <w:rFonts w:ascii="Times New Roman" w:cs="Times New Roman" w:eastAsia="Times New Roman" w:hAnsi="Times New Roman"/>
          <w:sz w:val="16"/>
          <w:szCs w:val="16"/>
          <w:b w:val="1"/>
          <w:bCs w:val="1"/>
          <w:color w:val="auto"/>
        </w:rPr>
        <w:t>Sanctioned Country</w:t>
      </w:r>
      <w:r>
        <w:rPr>
          <w:rFonts w:ascii="Times New Roman" w:cs="Times New Roman" w:eastAsia="Times New Roman" w:hAnsi="Times New Roman"/>
          <w:sz w:val="16"/>
          <w:szCs w:val="16"/>
          <w:color w:val="auto"/>
        </w:rPr>
        <w:t>”);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The Company has not knowingly engaged in and are not now knowingly engaged in any dealings or transactions with any person that at the time of the dealing or transaction is or was the subject or the target of Sanctions or with any Sanctioned Country.</w:t>
      </w:r>
    </w:p>
    <w:p>
      <w:pPr>
        <w:spacing w:after="0" w:line="174" w:lineRule="exact"/>
        <w:rPr>
          <w:rFonts w:ascii="Times New Roman" w:cs="Times New Roman" w:eastAsia="Times New Roman" w:hAnsi="Times New Roman"/>
          <w:sz w:val="16"/>
          <w:szCs w:val="16"/>
          <w:color w:val="auto"/>
        </w:rPr>
      </w:pPr>
    </w:p>
    <w:p>
      <w:pPr>
        <w:jc w:val="both"/>
        <w:ind w:right="20" w:firstLine="282"/>
        <w:spacing w:after="0" w:line="255" w:lineRule="auto"/>
        <w:tabs>
          <w:tab w:leader="none" w:pos="545"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Anti-Money Laundering Laws</w:t>
      </w:r>
      <w:r>
        <w:rPr>
          <w:rFonts w:ascii="Times New Roman" w:cs="Times New Roman" w:eastAsia="Times New Roman" w:hAnsi="Times New Roman"/>
          <w:sz w:val="16"/>
          <w:szCs w:val="16"/>
          <w:color w:val="auto"/>
        </w:rPr>
        <w:t>. The operations of the Company is and has been conducted at all times in compliance with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money laundering statutes of all jurisdictions where the Company conducts business, the rules and regulations thereunder and any related or similar rules, regulations or guidelines issued, administered or enforced by any governmental or regulatory agency (collectively, the “</w:t>
      </w:r>
      <w:r>
        <w:rPr>
          <w:rFonts w:ascii="Times New Roman" w:cs="Times New Roman" w:eastAsia="Times New Roman" w:hAnsi="Times New Roman"/>
          <w:sz w:val="16"/>
          <w:szCs w:val="16"/>
          <w:b w:val="1"/>
          <w:bCs w:val="1"/>
          <w:color w:val="auto"/>
        </w:rPr>
        <w:t>Anti-Money Laundering Laws</w:t>
      </w:r>
      <w:r>
        <w:rPr>
          <w:rFonts w:ascii="Times New Roman" w:cs="Times New Roman" w:eastAsia="Times New Roman" w:hAnsi="Times New Roman"/>
          <w:sz w:val="16"/>
          <w:szCs w:val="16"/>
          <w:color w:val="auto"/>
        </w:rPr>
        <w:t>”) and no action, suit or proceeding by or before any court or governmental or regulatory agency, authority or body or any arbitrator involving the Company with respect to the Anti-Money Laundering Laws is pending or, to the Company’s Knowledge, threatened.</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17" w:name="page18"/>
    <w:bookmarkEnd w:id="17"/>
    <w:p>
      <w:pPr>
        <w:jc w:val="both"/>
        <w:ind w:left="4" w:firstLine="282"/>
        <w:spacing w:after="0" w:line="251" w:lineRule="auto"/>
        <w:tabs>
          <w:tab w:leader="none" w:pos="526"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Health Care Laws</w:t>
      </w:r>
      <w:r>
        <w:rPr>
          <w:rFonts w:ascii="Times New Roman" w:cs="Times New Roman" w:eastAsia="Times New Roman" w:hAnsi="Times New Roman"/>
          <w:sz w:val="16"/>
          <w:szCs w:val="16"/>
          <w:color w:val="auto"/>
        </w:rPr>
        <w:t>. Except as disclosed in the SEC Reports, and except as would not, individually or in the aggregate, reasonably be expected to have a Material Adverse Effect, the Company and, to the Company’s Knowledge, its directors, officers, employees, independent contractors, agents and affiliates are, and at all times have been, in compliance with all applicable Health Care Laws. For purposes of this Agreement, “</w:t>
      </w:r>
      <w:r>
        <w:rPr>
          <w:rFonts w:ascii="Times New Roman" w:cs="Times New Roman" w:eastAsia="Times New Roman" w:hAnsi="Times New Roman"/>
          <w:sz w:val="16"/>
          <w:szCs w:val="16"/>
          <w:b w:val="1"/>
          <w:bCs w:val="1"/>
          <w:color w:val="auto"/>
        </w:rPr>
        <w:t>Health Care Laws</w:t>
      </w:r>
      <w:r>
        <w:rPr>
          <w:rFonts w:ascii="Times New Roman" w:cs="Times New Roman" w:eastAsia="Times New Roman" w:hAnsi="Times New Roman"/>
          <w:sz w:val="16"/>
          <w:szCs w:val="16"/>
          <w:color w:val="auto"/>
        </w:rPr>
        <w:t>” means: (i) the FDCA, the Public Health Service Act (42 U.S.C. § 201 et seq.) and the regulations promulgated thereunder; (ii) all applicable federal, state, local and foreign health care fraud and abuse laws, including, without limitation, the U.S. Anti-Kickback Statute (42 U.S.C. Section 1320a-7b(b)), the U.S. Civil False Claims Act (31 U.S.C. Section 3729 et seq.), the criminal False Statements Law (42 U.S.C. Section 1320a-7b(a)), all criminal laws relating to health care fraud and abuse, including but not limited to 18 U.S.C. Sections 286, 287 and 1349, the health care fraud criminal provisions under HIPAA, the civil monetary penalties law (42 U.S.C. Section 1320a-7a), the exclusions law (42 U.S.C. Section 1320a-7), the Physician Payments Sunshine Act (42 U.S.C Section 1320-7h), and the laws governing U.S. government funded or sponsored healthcare programs; and (iii) all other local, state, federal, national, supranational and foreign laws, relating to the regulation of the Company, and (iv) the directives and regulations promulgated pursuant to such statutes and any state or non-U.S. counterpart thereof. The Company has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Health Care Laws nor, to the Company’s Knowledge, is any such claim, action, suit, proceeding, hearing, enforcement, investigation, arbitration or other action threatened, except where any of the foregoing, if resolved adversely to the Company, would not reasonably be expected to have a Material Adverse Effect. Except as would not, whether individually or in the aggregate, reasonably be expected to have a Material Adverse Effect, the Company has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(or were corrected or supplemented by a subsequent submission). The Company is not a party to any corporate integrity agreements, monitoring agreements, consent decrees, settlement orders, or similar agreements with or imposed by any governmental or regulatory authority or body. Additionally, none of the Company, its employees, officers, directors, or, to the Company’s Knowledge, independent contractors, affiliates or agents, has been excluded, suspended or debarred from participation in any U.S. federal health care program or human clinical research or is subject to a governmental inquiry, investigation, proceeding, or other similar action that could reasonably be expected to result in debarment, suspension or exclusion.</w:t>
      </w:r>
    </w:p>
    <w:p>
      <w:pPr>
        <w:spacing w:after="0" w:line="166" w:lineRule="exact"/>
        <w:rPr>
          <w:rFonts w:ascii="Times New Roman" w:cs="Times New Roman" w:eastAsia="Times New Roman" w:hAnsi="Times New Roman"/>
          <w:sz w:val="16"/>
          <w:szCs w:val="16"/>
          <w:color w:val="auto"/>
        </w:rPr>
      </w:pPr>
    </w:p>
    <w:p>
      <w:pPr>
        <w:ind w:left="584" w:hanging="298"/>
        <w:spacing w:after="0"/>
        <w:tabs>
          <w:tab w:leader="none" w:pos="584"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FDA Compliance</w:t>
      </w:r>
      <w:r>
        <w:rPr>
          <w:rFonts w:ascii="Times New Roman" w:cs="Times New Roman" w:eastAsia="Times New Roman" w:hAnsi="Times New Roman"/>
          <w:sz w:val="15"/>
          <w:szCs w:val="15"/>
          <w:color w:val="auto"/>
        </w:rPr>
        <w:t>. Except in each case as would not, whether individually or in the aggregate, reasonable be expected to have a Material Adverse Effect, the Company:</w:t>
      </w:r>
    </w:p>
    <w:p>
      <w:pPr>
        <w:spacing w:after="0" w:line="35" w:lineRule="exact"/>
        <w:rPr>
          <w:rFonts w:ascii="Times New Roman" w:cs="Times New Roman" w:eastAsia="Times New Roman" w:hAnsi="Times New Roman"/>
          <w:sz w:val="15"/>
          <w:szCs w:val="15"/>
          <w:color w:val="auto"/>
        </w:rPr>
      </w:pPr>
    </w:p>
    <w:p>
      <w:pPr>
        <w:jc w:val="both"/>
        <w:ind w:left="4" w:hanging="4"/>
        <w:spacing w:after="0" w:line="250" w:lineRule="auto"/>
        <w:tabs>
          <w:tab w:leader="none" w:pos="29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and at all times has been in compliance with all applicable statutes, rules or regulations enforced by the U.S. Food and Drug Administration (“</w:t>
      </w:r>
      <w:r>
        <w:rPr>
          <w:rFonts w:ascii="Times New Roman" w:cs="Times New Roman" w:eastAsia="Times New Roman" w:hAnsi="Times New Roman"/>
          <w:sz w:val="16"/>
          <w:szCs w:val="16"/>
          <w:b w:val="1"/>
          <w:bCs w:val="1"/>
          <w:color w:val="auto"/>
        </w:rPr>
        <w:t>FDA</w:t>
      </w:r>
      <w:r>
        <w:rPr>
          <w:rFonts w:ascii="Times New Roman" w:cs="Times New Roman" w:eastAsia="Times New Roman" w:hAnsi="Times New Roman"/>
          <w:sz w:val="16"/>
          <w:szCs w:val="16"/>
          <w:color w:val="auto"/>
        </w:rPr>
        <w:t>”) and other comparable governmental entities having oversight over the ownership, testing, development, manufacture, packaging, processing, use, distribution, marketing, labeling, promotion, sale, offer for sale, storage, import, export or disposal of any product under development, manufactured or distributed by the Company (“</w:t>
      </w:r>
      <w:r>
        <w:rPr>
          <w:rFonts w:ascii="Times New Roman" w:cs="Times New Roman" w:eastAsia="Times New Roman" w:hAnsi="Times New Roman"/>
          <w:sz w:val="16"/>
          <w:szCs w:val="16"/>
          <w:b w:val="1"/>
          <w:bCs w:val="1"/>
          <w:color w:val="auto"/>
        </w:rPr>
        <w:t>Applicable Laws</w:t>
      </w:r>
      <w:r>
        <w:rPr>
          <w:rFonts w:ascii="Times New Roman" w:cs="Times New Roman" w:eastAsia="Times New Roman" w:hAnsi="Times New Roman"/>
          <w:sz w:val="16"/>
          <w:szCs w:val="16"/>
          <w:color w:val="auto"/>
        </w:rPr>
        <w:t>”); (B) has not received any FDA Form 483, written notice of adverse finding, warning letter, untitled letter or other written correspondence or notice from the FDA or any governmental entity alleging or asserting noncompliance with any Applicable Laws or any licenses, certificates, approvals, clearances, exemptions, authorizations, permits and supplements or amendments thereto required by any such Applicable Laws (“</w:t>
      </w:r>
      <w:r>
        <w:rPr>
          <w:rFonts w:ascii="Times New Roman" w:cs="Times New Roman" w:eastAsia="Times New Roman" w:hAnsi="Times New Roman"/>
          <w:sz w:val="16"/>
          <w:szCs w:val="16"/>
          <w:b w:val="1"/>
          <w:bCs w:val="1"/>
          <w:color w:val="auto"/>
        </w:rPr>
        <w:t>Authorizations</w:t>
      </w:r>
      <w:r>
        <w:rPr>
          <w:rFonts w:ascii="Times New Roman" w:cs="Times New Roman" w:eastAsia="Times New Roman" w:hAnsi="Times New Roman"/>
          <w:sz w:val="16"/>
          <w:szCs w:val="16"/>
          <w:color w:val="auto"/>
        </w:rPr>
        <w:t>”); (C) possesses all Authorizations, such Authorizations are valid and in full force and effect and the Company is not in violation of any term of any such Authorizations; (D) has not received written notice of any claim, action, suit, proceeding, hearing, enforcement, investigation, arbitration or other action from the FDA or any governmental entity or third party alleging that any product operation or activity is in violation of any Applicable Laws or Authorizations and has no Knowledge that the FDA or any governmental entity or third party has threatened any such claim, litigation, arbitration, action, suit, investigation or proceeding; (E) has not received written notice that the FDA or any governmental entity has taken, is taking or intends to take action to limit, suspend, modify or revoke any Authorizations and has no Knowledge that the FDA or any governmental entity has threatened such action; and (F)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materially complete and correct on the date filed (or were corrected or supplemented by a subsequent submission).</w:t>
      </w: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8" w:name="page19"/>
    <w:bookmarkEnd w:id="18"/>
    <w:p>
      <w:pPr>
        <w:jc w:val="both"/>
        <w:ind w:firstLine="282"/>
        <w:spacing w:after="0" w:line="252" w:lineRule="auto"/>
        <w:tabs>
          <w:tab w:leader="none" w:pos="533"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Tests and Preclinical and Clinical Trials</w:t>
      </w:r>
      <w:r>
        <w:rPr>
          <w:rFonts w:ascii="Times New Roman" w:cs="Times New Roman" w:eastAsia="Times New Roman" w:hAnsi="Times New Roman"/>
          <w:sz w:val="16"/>
          <w:szCs w:val="16"/>
          <w:color w:val="auto"/>
        </w:rPr>
        <w:t>. The studies, tests and preclinical and clinical trials conducted by, on behalf of the Company were and, if still ongoing, are being conducted in all material respects in accordance with all Authorizations and Applicable Laws, including, without limitation, the Federal Food, Drug and Cosmetic Act (21 U.S.C. § 301 et seq.) and the rules and regulations promulgated thereunder (“</w:t>
      </w:r>
      <w:r>
        <w:rPr>
          <w:rFonts w:ascii="Times New Roman" w:cs="Times New Roman" w:eastAsia="Times New Roman" w:hAnsi="Times New Roman"/>
          <w:sz w:val="16"/>
          <w:szCs w:val="16"/>
          <w:b w:val="1"/>
          <w:bCs w:val="1"/>
          <w:color w:val="auto"/>
        </w:rPr>
        <w:t>FDCA</w:t>
      </w:r>
      <w:r>
        <w:rPr>
          <w:rFonts w:ascii="Times New Roman" w:cs="Times New Roman" w:eastAsia="Times New Roman" w:hAnsi="Times New Roman"/>
          <w:sz w:val="16"/>
          <w:szCs w:val="16"/>
          <w:color w:val="auto"/>
        </w:rPr>
        <w:t>”) and any other applicable rules, regulations and policies to which such trials and studies are subject; the descriptions of the results of such studies, tests and trials contained in the SEC Reports are, to the Company’s Knowledge, accurate in all material respects; the Company is not aware of any studies, tests or trials, the results of which the Company believes reasonably call into question the study, test, or trial results described or referred to in the SEC Reports when viewed in the context in which such results are described and the clinical state of development; and the Company has not received any written notices or correspondence from the FDA or any governmental entity requiring the termination or suspension of any studies, tests or preclinical or clinical trials currently being conducted or proposed to be conducted by or on behalf of the Company, other than ordinary course communications with respect to modifications in connection with the design and implementation of such trials. To the Company’s Knowledge, the studies, tests and preclinical and clinical trials involving the Company’s product candidates are accurately described in the SEC Reports in all material respects.</w:t>
      </w:r>
    </w:p>
    <w:p>
      <w:pPr>
        <w:spacing w:after="0" w:line="171" w:lineRule="exact"/>
        <w:rPr>
          <w:rFonts w:ascii="Times New Roman" w:cs="Times New Roman" w:eastAsia="Times New Roman" w:hAnsi="Times New Roman"/>
          <w:sz w:val="16"/>
          <w:szCs w:val="16"/>
          <w:color w:val="auto"/>
        </w:rPr>
      </w:pPr>
    </w:p>
    <w:p>
      <w:pPr>
        <w:ind w:right="20" w:firstLine="282"/>
        <w:spacing w:after="0" w:line="280" w:lineRule="auto"/>
        <w:tabs>
          <w:tab w:leader="none" w:pos="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Additional Agreements</w:t>
      </w:r>
      <w:r>
        <w:rPr>
          <w:rFonts w:ascii="Times New Roman" w:cs="Times New Roman" w:eastAsia="Times New Roman" w:hAnsi="Times New Roman"/>
          <w:sz w:val="16"/>
          <w:szCs w:val="16"/>
          <w:color w:val="auto"/>
        </w:rPr>
        <w:t>. The Company does not have any agreement or understanding with any Purchaser with respect to the transactions contemplated by the Transaction Documents other than as specified in the Transaction Documents.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3.2. </w:t>
      </w:r>
      <w:r>
        <w:rPr>
          <w:rFonts w:ascii="Times New Roman" w:cs="Times New Roman" w:eastAsia="Times New Roman" w:hAnsi="Times New Roman"/>
          <w:sz w:val="15"/>
          <w:szCs w:val="15"/>
          <w:i w:val="1"/>
          <w:iCs w:val="1"/>
          <w:color w:val="auto"/>
        </w:rPr>
        <w:t>Representations and Warranties of the Purchaser</w:t>
      </w:r>
      <w:r>
        <w:rPr>
          <w:rFonts w:ascii="Times New Roman" w:cs="Times New Roman" w:eastAsia="Times New Roman" w:hAnsi="Times New Roman"/>
          <w:sz w:val="15"/>
          <w:szCs w:val="15"/>
          <w:color w:val="auto"/>
        </w:rPr>
        <w:t>s. Each Purchaser, for itself and for no other Purchaser, hereby represents, warrants and covenants to the Company and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Placement Agents as of the date hereof and as of the Closing Date as follows (unless as of a specific date therein, in which case they shall be accurate as of such date):</w:t>
      </w:r>
    </w:p>
    <w:p>
      <w:pPr>
        <w:spacing w:after="0" w:line="182" w:lineRule="exact"/>
        <w:rPr>
          <w:sz w:val="20"/>
          <w:szCs w:val="20"/>
          <w:color w:val="auto"/>
        </w:rPr>
      </w:pPr>
    </w:p>
    <w:p>
      <w:pPr>
        <w:jc w:val="both"/>
        <w:ind w:firstLine="282"/>
        <w:spacing w:after="0" w:line="253" w:lineRule="auto"/>
        <w:tabs>
          <w:tab w:leader="none" w:pos="50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Organization; Authority</w:t>
      </w:r>
      <w:r>
        <w:rPr>
          <w:rFonts w:ascii="Times New Roman" w:cs="Times New Roman" w:eastAsia="Times New Roman" w:hAnsi="Times New Roman"/>
          <w:sz w:val="16"/>
          <w:szCs w:val="16"/>
          <w:color w:val="auto"/>
        </w:rPr>
        <w:t>. The Purchaser is an entity duly organized, validly existing and in good standing under the laws of the jurisdiction of its organization with the requisite corporate or partnership power and authority to enter into and to consummate the transactions contemplated by the applicable Transaction Documents and otherwise to carry out its obligations hereunder and thereunder. The execution and delivery of this Agreement by the Purchaser and performance by the Purchaser of the transactions contemplated by this Agreement have been duly authorized by all necessary corporate or, if the Purchaser is not a corporation, such partnership, limited liability company or other applicable like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as such enforceability may be limited by applicable bankruptcy, insolvency, reorganization, moratorium, liquidation or similar laws relating to, or affecting generally the enforcement of, creditors’ rights and remedies or by other equitable principles of general application.</w:t>
      </w:r>
    </w:p>
    <w:p>
      <w:pPr>
        <w:spacing w:after="0" w:line="169" w:lineRule="exact"/>
        <w:rPr>
          <w:rFonts w:ascii="Times New Roman" w:cs="Times New Roman" w:eastAsia="Times New Roman" w:hAnsi="Times New Roman"/>
          <w:sz w:val="16"/>
          <w:szCs w:val="16"/>
          <w:color w:val="auto"/>
        </w:rPr>
      </w:pPr>
    </w:p>
    <w:p>
      <w:pPr>
        <w:jc w:val="both"/>
        <w:ind w:firstLine="282"/>
        <w:spacing w:after="0" w:line="255" w:lineRule="auto"/>
        <w:tabs>
          <w:tab w:leader="none" w:pos="512"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 The execution, delivery and performance by the Purchaser of this Agreement and the consummation by the Purchaser of the transactions contemplated hereby will not (i) result in a violation of the organizational documents of the Purchaser, (ii) conflict with, or constitute a default (or an event which with notice or lapse of time or both would become a default) under, or give to others any rights of termination, amendment, acceleration or cancellation of, any agreement, indenture or instrument to which the Purchaser is a party, or (iii) to the knowledge of the Purchaser, result in a violation of any law, rule, regulation, order, judgment or decree (including federal and state securities laws) applicable to the Purchaser, except in the case of clauses (ii) and (iii) above, for such conflicts, defaults, rights or violations which would not, individually or in the aggregate, reasonably be expected to have a material adverse effect on the ability of the Purchaser to perform its obligations hereunder.</w:t>
      </w:r>
    </w:p>
    <w:p>
      <w:pPr>
        <w:spacing w:after="0" w:line="165"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1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Purchaser Status</w:t>
      </w:r>
      <w:r>
        <w:rPr>
          <w:rFonts w:ascii="Times New Roman" w:cs="Times New Roman" w:eastAsia="Times New Roman" w:hAnsi="Times New Roman"/>
          <w:sz w:val="16"/>
          <w:szCs w:val="16"/>
          <w:color w:val="auto"/>
        </w:rPr>
        <w:t>. At the time the Purchaser was offered the Shares, it was, and at the date hereof it is, an “accredited investor” as defined in Rule 501(a) under the Securities Act and an “Institutional Account” as defined in FINRA Rule 4512(c). The Purchaser is not a registered broker-dealer registered under Section 15(a) of the Exchange Act, or a member of FINRA or an entity engaged in the business of being a broker-dealer.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9" w:name="page20"/>
    <w:bookmarkEnd w:id="19"/>
    <w:p>
      <w:pPr>
        <w:jc w:val="both"/>
        <w:ind w:firstLine="282"/>
        <w:spacing w:after="0" w:line="253" w:lineRule="auto"/>
        <w:tabs>
          <w:tab w:leader="none" w:pos="51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Securities Act</w:t>
      </w:r>
      <w:r>
        <w:rPr>
          <w:rFonts w:ascii="Times New Roman" w:cs="Times New Roman" w:eastAsia="Times New Roman" w:hAnsi="Times New Roman"/>
          <w:sz w:val="16"/>
          <w:szCs w:val="16"/>
          <w:color w:val="auto"/>
        </w:rPr>
        <w:t>. The Purchaser is purchasing the Shares for its own account, for investment purposes only, and not with a present view to, or for, resale, distribution or fractionalization thereof, in whole or in part, within the meaning of the Securities Act. The Purchaser understands that its acquisition of the Shares has not been registered under the Securities Act or registered or qualified under any state securities law in reliance on specific exemptions therefrom, which exemptions may depend upon, among other things, the bona fide nature of the Purchaser’s investment intent as expressed herein, and that the Company is relying in part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 The Purchaser will not, directly or indirectly, offer, sell, pledge, transfer or otherwise dispose of (or solicit any offers to buy, purchase or otherwise acquire or take a pledge of) the Shares except in compliance with the Securities Act and the rules and regulations promulgated thereunder. The Purchaser represents and acknowledges that it has not been solicited to offer to purchase or to purchase any Shares by means of any advertising or, to such Purchaser’s knowledge, general solicitation within the meaning of Regulation D under the Securities Act.</w:t>
      </w:r>
    </w:p>
    <w:p>
      <w:pPr>
        <w:spacing w:after="0" w:line="166"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27"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Experience of the Purchaser</w:t>
      </w:r>
      <w:r>
        <w:rPr>
          <w:rFonts w:ascii="Times New Roman" w:cs="Times New Roman" w:eastAsia="Times New Roman" w:hAnsi="Times New Roman"/>
          <w:sz w:val="16"/>
          <w:szCs w:val="16"/>
          <w:color w:val="auto"/>
        </w:rPr>
        <w:t>. The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spacing w:after="0" w:line="155" w:lineRule="exact"/>
        <w:rPr>
          <w:rFonts w:ascii="Times New Roman" w:cs="Times New Roman" w:eastAsia="Times New Roman" w:hAnsi="Times New Roman"/>
          <w:sz w:val="16"/>
          <w:szCs w:val="16"/>
          <w:color w:val="auto"/>
        </w:rPr>
      </w:pPr>
    </w:p>
    <w:p>
      <w:pPr>
        <w:jc w:val="both"/>
        <w:ind w:firstLine="282"/>
        <w:spacing w:after="0" w:line="253" w:lineRule="auto"/>
        <w:tabs>
          <w:tab w:leader="none" w:pos="49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Access to Information</w:t>
      </w:r>
      <w:r>
        <w:rPr>
          <w:rFonts w:ascii="Times New Roman" w:cs="Times New Roman" w:eastAsia="Times New Roman" w:hAnsi="Times New Roman"/>
          <w:sz w:val="16"/>
          <w:szCs w:val="16"/>
          <w:color w:val="auto"/>
        </w:rPr>
        <w:t>. The Purchaser acknowledges that it has had the opportunity to review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their respective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Neither such inquiries nor any other investigation conducted by or on behalf of the Purchaser or its representatives or counsel shall modify, amend or affect the Purchaser’s right to rely on the truth, accuracy and completeness of the SEC Reports and the Company’s representations and warranties contained in the Transaction Documents. The Purchaser has sought such accounting, legal and tax advice as it has considered necessary to make an informed decision with respect to its acquisition of the Shares.</w:t>
      </w:r>
    </w:p>
    <w:p>
      <w:pPr>
        <w:spacing w:after="0" w:line="169" w:lineRule="exact"/>
        <w:rPr>
          <w:rFonts w:ascii="Times New Roman" w:cs="Times New Roman" w:eastAsia="Times New Roman" w:hAnsi="Times New Roman"/>
          <w:sz w:val="16"/>
          <w:szCs w:val="16"/>
          <w:color w:val="auto"/>
        </w:rPr>
      </w:pPr>
    </w:p>
    <w:p>
      <w:pPr>
        <w:jc w:val="both"/>
        <w:ind w:firstLine="282"/>
        <w:spacing w:after="0" w:line="251" w:lineRule="auto"/>
        <w:tabs>
          <w:tab w:leader="none" w:pos="512"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Trading Activities</w:t>
      </w:r>
      <w:r>
        <w:rPr>
          <w:rFonts w:ascii="Times New Roman" w:cs="Times New Roman" w:eastAsia="Times New Roman" w:hAnsi="Times New Roman"/>
          <w:sz w:val="16"/>
          <w:szCs w:val="16"/>
          <w:color w:val="auto"/>
        </w:rPr>
        <w:t>. Other than with respect to the transactions contemplated herein, since the time that the Purchaser was first contacted by the Company, the Placement Agents or any other Person regarding the transactions contemplated hereby, the Purchaser has not, directly or indirectly, nor has any Person acting on behalf of or pursuant to any understanding with the Purchaser, effected or agreed to effect any purchases or any Short Sales involving the Company’s securities. Notwithstanding the foregoing, (i) in the case of the Purchaser that is a multi-managed investment vehicle whereby separate portfolio managers manage separate portions of the Purchaser’s assets and the portfolio managers have no direct knowledge of the investment decisions made by the portfolio managers managing other portions of the Purchaser’s assets, the representation set forth above shall apply only with respect to the portion of assets managed by the portfolio manager that made the investment decision to purchase the Shares pursuant to this Agreement and (ii) in the case of a Purchaser that is affiliated with other funds or investment vehicles or whose investment advisor or sub-advisor that routinely acts on behalf of or pursuant to an understanding with such Purchaser is also an investment advisor or sub-advisor to other funds or investment vehicles, the representation set forth above shall only apply with respect to the personnel of such other funds or investment vehicles or such investment advisor or sub-advisor who had knowledge of the transaction contemplated hereby and not with respect to any personnel who have been effectively walled off by appropriate information barriers. Other than to other Persons party to this Agreement and to such Persons’ representatives, including their respective lawyers, the Purchaser will hold in confidence all information concerning this Agreement and the sale and issuance of the Shares until the earlier of (i) the time the Company has made a public announcement concerning this Agreement and the sale and issuance of the Shares and (ii) the Disclosure Time.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 w:name="page21"/>
    <w:bookmarkEnd w:id="20"/>
    <w:p>
      <w:pPr>
        <w:ind w:firstLine="282"/>
        <w:spacing w:after="0" w:line="315" w:lineRule="auto"/>
        <w:tabs>
          <w:tab w:leader="none" w:pos="512"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Brokers and Finders</w:t>
      </w:r>
      <w:r>
        <w:rPr>
          <w:rFonts w:ascii="Times New Roman" w:cs="Times New Roman" w:eastAsia="Times New Roman" w:hAnsi="Times New Roman"/>
          <w:sz w:val="15"/>
          <w:szCs w:val="15"/>
          <w:color w:val="auto"/>
        </w:rPr>
        <w:t>. No Person will have, as a result of the transactions contemplated by this Agreement, any valid right, interest or claim against or upon the Company or the Purchaser for any commission, fee or other compensation pursuant to any agreement, arrangement or understanding entered into by or on behalf of the Purchaser.</w:t>
      </w:r>
    </w:p>
    <w:p>
      <w:pPr>
        <w:spacing w:after="0" w:line="120" w:lineRule="exact"/>
        <w:rPr>
          <w:rFonts w:ascii="Times New Roman" w:cs="Times New Roman" w:eastAsia="Times New Roman" w:hAnsi="Times New Roman"/>
          <w:sz w:val="15"/>
          <w:szCs w:val="15"/>
          <w:color w:val="auto"/>
        </w:rPr>
      </w:pPr>
    </w:p>
    <w:p>
      <w:pPr>
        <w:jc w:val="both"/>
        <w:ind w:firstLine="282"/>
        <w:spacing w:after="0" w:line="253" w:lineRule="auto"/>
        <w:tabs>
          <w:tab w:leader="none" w:pos="4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Investment Decision</w:t>
      </w:r>
      <w:r>
        <w:rPr>
          <w:rFonts w:ascii="Times New Roman" w:cs="Times New Roman" w:eastAsia="Times New Roman" w:hAnsi="Times New Roman"/>
          <w:sz w:val="16"/>
          <w:szCs w:val="16"/>
          <w:color w:val="auto"/>
        </w:rPr>
        <w:t>. The Purchaser has independently evaluated the merits of its decision to purchase Shares pursuant to the Transaction Documents, and such Purchaser confirms that it has not relied on the advice of another Purchaser’s business and/or legal counsel in making such decision. The Purchaser understands that nothing in this Agreement or any other materials presented by or on behalf of the Company to the Purchaser in connection with the purchase of the Shares constitutes legal, tax or investment advice. The Purchaser has consulted such legal, tax and investment advisors as it, in its sole discretion, has deemed necessary or appropriate in connection with its purchase of the Shares. The Purchaser understands that the Placement Agents have acted solely as the agents of the Company in this placement of the Shares and the Purchaser has not relied on the business or legal advice of the Placement Agents or any of their respective agents, counsel or Affiliates in making its investment decision hereunder, and confirms that none of such Persons has made any representations or warranties to the Purchaser in connection with the transactions contemplated by the Transaction Documents.</w:t>
      </w:r>
    </w:p>
    <w:p>
      <w:pPr>
        <w:spacing w:after="0" w:line="169"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4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Governmental Review</w:t>
      </w:r>
      <w:r>
        <w:rPr>
          <w:rFonts w:ascii="Times New Roman" w:cs="Times New Roman" w:eastAsia="Times New Roman" w:hAnsi="Times New Roman"/>
          <w:sz w:val="16"/>
          <w:szCs w:val="16"/>
          <w:color w:val="auto"/>
        </w:rPr>
        <w:t>. The Purchaser understands that no United States federal or state agency or any other government or governmental agency has passed on or made any recommendation or endorsement of the Shares or the fairness or suitability of the investment in the Shares nor have such authorities passed upon or endorsed the merits of the offering of the Shares.</w:t>
      </w:r>
    </w:p>
    <w:p>
      <w:pPr>
        <w:spacing w:after="0" w:line="155" w:lineRule="exact"/>
        <w:rPr>
          <w:rFonts w:ascii="Times New Roman" w:cs="Times New Roman" w:eastAsia="Times New Roman" w:hAnsi="Times New Roman"/>
          <w:sz w:val="16"/>
          <w:szCs w:val="16"/>
          <w:color w:val="auto"/>
        </w:rPr>
      </w:pPr>
    </w:p>
    <w:p>
      <w:pPr>
        <w:ind w:right="20" w:firstLine="282"/>
        <w:spacing w:after="0" w:line="280" w:lineRule="auto"/>
        <w:tabs>
          <w:tab w:leader="none" w:pos="524"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Regulation M</w:t>
      </w:r>
      <w:r>
        <w:rPr>
          <w:rFonts w:ascii="Times New Roman" w:cs="Times New Roman" w:eastAsia="Times New Roman" w:hAnsi="Times New Roman"/>
          <w:sz w:val="16"/>
          <w:szCs w:val="16"/>
          <w:color w:val="auto"/>
        </w:rPr>
        <w:t>. The Purchaser is aware that the anti-manipulation rules of Regulation M under the Exchange Act may apply to sales of Ordinary Share and other activities with respect to the Ordinary Share by the Purchaser.</w:t>
      </w:r>
    </w:p>
    <w:p>
      <w:pPr>
        <w:spacing w:after="0" w:line="144" w:lineRule="exact"/>
        <w:rPr>
          <w:rFonts w:ascii="Times New Roman" w:cs="Times New Roman" w:eastAsia="Times New Roman" w:hAnsi="Times New Roman"/>
          <w:sz w:val="16"/>
          <w:szCs w:val="16"/>
          <w:color w:val="auto"/>
        </w:rPr>
      </w:pPr>
    </w:p>
    <w:p>
      <w:pPr>
        <w:ind w:right="20" w:firstLine="282"/>
        <w:spacing w:after="0" w:line="280" w:lineRule="auto"/>
        <w:tabs>
          <w:tab w:leader="none" w:pos="47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Residency</w:t>
      </w:r>
      <w:r>
        <w:rPr>
          <w:rFonts w:ascii="Times New Roman" w:cs="Times New Roman" w:eastAsia="Times New Roman" w:hAnsi="Times New Roman"/>
          <w:sz w:val="16"/>
          <w:szCs w:val="16"/>
          <w:color w:val="auto"/>
        </w:rPr>
        <w:t>. The Purchaser’s residence (if an individual) or offices in which its investment decision with respect to the Shares was made (if an entity) are located at the address immediately below the Purchaser’s name or as otherwise indicated on its signature page hereto.</w:t>
      </w:r>
    </w:p>
    <w:p>
      <w:pPr>
        <w:spacing w:after="0" w:line="144" w:lineRule="exact"/>
        <w:rPr>
          <w:rFonts w:ascii="Times New Roman" w:cs="Times New Roman" w:eastAsia="Times New Roman" w:hAnsi="Times New Roman"/>
          <w:sz w:val="16"/>
          <w:szCs w:val="16"/>
          <w:color w:val="auto"/>
        </w:rPr>
      </w:pPr>
    </w:p>
    <w:p>
      <w:pPr>
        <w:jc w:val="both"/>
        <w:ind w:firstLine="282"/>
        <w:spacing w:after="0" w:line="255" w:lineRule="auto"/>
        <w:tabs>
          <w:tab w:leader="none" w:pos="55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Purchasers</w:t>
      </w:r>
      <w:r>
        <w:rPr>
          <w:rFonts w:ascii="Times New Roman" w:cs="Times New Roman" w:eastAsia="Times New Roman" w:hAnsi="Times New Roman"/>
          <w:sz w:val="16"/>
          <w:szCs w:val="16"/>
          <w:color w:val="auto"/>
        </w:rPr>
        <w:t>. If the Purchaser is not a United States person (as defined by Section 7701(a)(30) of the Code), the Purchaser hereby represents that it has satisfied itself as to the full observance by it of the laws of its jurisdiction in connection with its decision to subscribe for the Shares, including (a) the legal requirements within its jurisdiction for the purchase of the Shares, (b) any foreign exchange restrictions applicable to such purchase or acquisition, (c) any government or other consents that may need to be obtained by it, and (d) the income tax and other tax consequences, if any, that may be relevant to the purchase, holding, redemption, sale or transfer of the Shares. The Purchaser’s subscription and payment for and continued beneficial ownership of the Shares will not constitute a violation by the Purchaser of any applicable securities or other laws of the Purchaser’s jurisdiction.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1" w:name="page22"/>
    <w:bookmarkEnd w:id="21"/>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4.1. </w:t>
      </w:r>
      <w:r>
        <w:rPr>
          <w:rFonts w:ascii="Times New Roman" w:cs="Times New Roman" w:eastAsia="Times New Roman" w:hAnsi="Times New Roman"/>
          <w:sz w:val="16"/>
          <w:szCs w:val="16"/>
          <w:i w:val="1"/>
          <w:iCs w:val="1"/>
          <w:color w:val="auto"/>
        </w:rPr>
        <w:t>Definitions.</w:t>
      </w:r>
    </w:p>
    <w:p>
      <w:pPr>
        <w:spacing w:after="0" w:line="198" w:lineRule="exact"/>
        <w:rPr>
          <w:sz w:val="20"/>
          <w:szCs w:val="20"/>
          <w:color w:val="auto"/>
        </w:rPr>
      </w:pPr>
    </w:p>
    <w:p>
      <w:pPr>
        <w:jc w:val="both"/>
        <w:ind w:left="4" w:firstLine="282"/>
        <w:spacing w:after="0" w:line="260" w:lineRule="auto"/>
        <w:tabs>
          <w:tab w:leader="none" w:pos="508"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Resale Registration Statement</w:t>
      </w:r>
      <w:r>
        <w:rPr>
          <w:rFonts w:ascii="Times New Roman" w:cs="Times New Roman" w:eastAsia="Times New Roman" w:hAnsi="Times New Roman"/>
          <w:sz w:val="16"/>
          <w:szCs w:val="16"/>
          <w:color w:val="auto"/>
        </w:rPr>
        <w:t xml:space="preserve">” means any registration statement required to be filed by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below, including the Mandatory Registration Statement and any Additional Registration Statement (as such terms are defined below), and shall include any preliminary prospectus, final prospectus, exhibit or amendment included in or relating to such registration statements. The definition of Resale Registration Statement shall also include amendments to any registration statement on Form F-3 previously filed with the Commission.</w:t>
      </w:r>
    </w:p>
    <w:p>
      <w:pPr>
        <w:spacing w:after="0" w:line="158" w:lineRule="exact"/>
        <w:rPr>
          <w:rFonts w:ascii="Times New Roman" w:cs="Times New Roman" w:eastAsia="Times New Roman" w:hAnsi="Times New Roman"/>
          <w:sz w:val="16"/>
          <w:szCs w:val="16"/>
          <w:color w:val="auto"/>
        </w:rPr>
      </w:pPr>
    </w:p>
    <w:p>
      <w:pPr>
        <w:jc w:val="both"/>
        <w:ind w:left="4" w:firstLine="282"/>
        <w:spacing w:after="0" w:line="256" w:lineRule="auto"/>
        <w:tabs>
          <w:tab w:leader="none" w:pos="517"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Registrable Shares</w:t>
      </w:r>
      <w:r>
        <w:rPr>
          <w:rFonts w:ascii="Times New Roman" w:cs="Times New Roman" w:eastAsia="Times New Roman" w:hAnsi="Times New Roman"/>
          <w:sz w:val="16"/>
          <w:szCs w:val="16"/>
          <w:color w:val="auto"/>
        </w:rPr>
        <w:t xml:space="preserve">” means the (i) the Shares (ii) ADSs representing the Shares and (iii) any other shares of Ordinary Share issued as a dividend or other distribution with respect to, in exchange for, or in replacement of the Shares;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 Share shall cease to be a Registrable Share upon the earliest to occur of the following: (x) such Share is sold pursuant to Rule 144 under circumstances in which any legend borne by such Share relating to restrictions on transferability thereof, under the Securities Act or otherwise, is removed by the Company, (y) such Share is eligible to be sold pursuant to Rule 144 without any limitation as to volume of sales, and without the holder complying with any method of sale requirements or notice requirements under Rule 144 and without the requirement to comply with the current public information of Rule 144(c)(1), or (z) such Share shall cease to be outstanding following its issuance.</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4.2. </w:t>
      </w:r>
      <w:r>
        <w:rPr>
          <w:rFonts w:ascii="Times New Roman" w:cs="Times New Roman" w:eastAsia="Times New Roman" w:hAnsi="Times New Roman"/>
          <w:sz w:val="16"/>
          <w:szCs w:val="16"/>
          <w:i w:val="1"/>
          <w:iCs w:val="1"/>
          <w:color w:val="auto"/>
        </w:rPr>
        <w:t>Registration Procedures and Expenses.</w:t>
      </w:r>
      <w:r>
        <w:rPr>
          <w:rFonts w:ascii="Times New Roman" w:cs="Times New Roman" w:eastAsia="Times New Roman" w:hAnsi="Times New Roman"/>
          <w:sz w:val="16"/>
          <w:szCs w:val="16"/>
          <w:color w:val="auto"/>
        </w:rPr>
        <w:t xml:space="preserve"> The Company shall:</w:t>
      </w:r>
    </w:p>
    <w:p>
      <w:pPr>
        <w:spacing w:after="0" w:line="198" w:lineRule="exact"/>
        <w:rPr>
          <w:sz w:val="20"/>
          <w:szCs w:val="20"/>
          <w:color w:val="auto"/>
        </w:rPr>
      </w:pPr>
    </w:p>
    <w:p>
      <w:pPr>
        <w:jc w:val="both"/>
        <w:ind w:left="4" w:firstLine="287"/>
        <w:spacing w:after="0" w:line="234" w:lineRule="auto"/>
        <w:rPr>
          <w:sz w:val="20"/>
          <w:szCs w:val="20"/>
          <w:color w:val="auto"/>
        </w:rPr>
      </w:pPr>
      <w:r>
        <w:rPr>
          <w:rFonts w:ascii="Times New Roman" w:cs="Times New Roman" w:eastAsia="Times New Roman" w:hAnsi="Times New Roman"/>
          <w:sz w:val="16"/>
          <w:szCs w:val="16"/>
          <w:color w:val="auto"/>
        </w:rPr>
        <w:t>(a) use its commercially reasonable efforts, subject to receipt of necessary information from the Purchasers, to file a Resale Registration Statement (the “</w:t>
      </w:r>
      <w:r>
        <w:rPr>
          <w:rFonts w:ascii="Times New Roman" w:cs="Times New Roman" w:eastAsia="Times New Roman" w:hAnsi="Times New Roman"/>
          <w:sz w:val="16"/>
          <w:szCs w:val="16"/>
          <w:b w:val="1"/>
          <w:bCs w:val="1"/>
          <w:color w:val="auto"/>
        </w:rPr>
        <w:t>Mandatory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with the Commission as promptly as possible following the Closing and no later than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calendar day following the Closing Date (the “</w:t>
      </w:r>
      <w:r>
        <w:rPr>
          <w:rFonts w:ascii="Times New Roman" w:cs="Times New Roman" w:eastAsia="Times New Roman" w:hAnsi="Times New Roman"/>
          <w:sz w:val="16"/>
          <w:szCs w:val="16"/>
          <w:b w:val="1"/>
          <w:bCs w:val="1"/>
          <w:color w:val="auto"/>
        </w:rPr>
        <w:t>Filing Date</w:t>
      </w:r>
      <w:r>
        <w:rPr>
          <w:rFonts w:ascii="Times New Roman" w:cs="Times New Roman" w:eastAsia="Times New Roman" w:hAnsi="Times New Roman"/>
          <w:sz w:val="16"/>
          <w:szCs w:val="16"/>
          <w:color w:val="auto"/>
        </w:rPr>
        <w:t>”) to register all of the Registrable Shares for resale on Form F-1 or F-3, as applicable, under the Securities Act, and each Purchaser, upon written request that is received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by the Company at least two (2) Business Days prior to the intended Filing Date, shall be provided with a copy of such draft Mandatory Registration Statement for review before filing;</w:t>
      </w:r>
    </w:p>
    <w:p>
      <w:pPr>
        <w:spacing w:after="0" w:line="176" w:lineRule="exact"/>
        <w:rPr>
          <w:sz w:val="20"/>
          <w:szCs w:val="20"/>
          <w:color w:val="auto"/>
        </w:rPr>
      </w:pPr>
    </w:p>
    <w:p>
      <w:pPr>
        <w:jc w:val="both"/>
        <w:ind w:left="4" w:firstLine="282"/>
        <w:spacing w:after="0" w:line="256" w:lineRule="auto"/>
        <w:tabs>
          <w:tab w:leader="none" w:pos="51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subject to receipt of necessary information from the Purchasers, to cause such Mandatory Registration Statement to be declared effective, and any other qualifications or compliances (including, without limitation, the execution of any required undertaking to file post-effective amendments, appropriate qualifications or exemptions under applicable blue sky or other state securities laws and appropriate compliance with applicable securities laws, requirements or regulations) as promptly as possible after the filing thereof, but in any event no later than the earlier of (i)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Closing Date (or if the Commission reviews such filing, the 180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following the Closing Date,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such time period shall be extended, upon written notification to the Purchasers, by the number of</w:t>
      </w:r>
    </w:p>
    <w:p>
      <w:pPr>
        <w:spacing w:after="0" w:line="3" w:lineRule="exact"/>
        <w:rPr>
          <w:sz w:val="20"/>
          <w:szCs w:val="20"/>
          <w:color w:val="auto"/>
        </w:rPr>
      </w:pPr>
    </w:p>
    <w:p>
      <w:pPr>
        <w:jc w:val="both"/>
        <w:ind w:left="4"/>
        <w:spacing w:after="0" w:line="225" w:lineRule="auto"/>
        <w:rPr>
          <w:sz w:val="20"/>
          <w:szCs w:val="20"/>
          <w:color w:val="auto"/>
        </w:rPr>
      </w:pPr>
      <w:r>
        <w:rPr>
          <w:rFonts w:ascii="Times New Roman" w:cs="Times New Roman" w:eastAsia="Times New Roman" w:hAnsi="Times New Roman"/>
          <w:sz w:val="16"/>
          <w:szCs w:val="16"/>
          <w:color w:val="auto"/>
        </w:rPr>
        <w:t>days the Company is subject to a Force Majeure Event that occurs during this period) and (ii)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Business Day after the date the Company is notified (orally or in writing, whichever is earlier) by the Commission that the Mandatory Registration Statement will not be “reviewed” or will not be subject to further comments from the Staff (such date, the “</w:t>
      </w:r>
      <w:r>
        <w:rPr>
          <w:rFonts w:ascii="Times New Roman" w:cs="Times New Roman" w:eastAsia="Times New Roman" w:hAnsi="Times New Roman"/>
          <w:sz w:val="16"/>
          <w:szCs w:val="16"/>
          <w:b w:val="1"/>
          <w:bCs w:val="1"/>
          <w:color w:val="auto"/>
        </w:rPr>
        <w:t>Effectiveness Deadline</w:t>
      </w:r>
      <w:r>
        <w:rPr>
          <w:rFonts w:ascii="Times New Roman" w:cs="Times New Roman" w:eastAsia="Times New Roman" w:hAnsi="Times New Roman"/>
          <w:sz w:val="16"/>
          <w:szCs w:val="16"/>
          <w:color w:val="auto"/>
        </w:rPr>
        <w:t>”), such efforts to include, without limiting the generality of the foregoing, preparing and filing with the Commission any financial statements or other information that is required to be filed prior to the effectiveness of such Mandatory Registration Statement;</w:t>
      </w:r>
    </w:p>
    <w:p>
      <w:pPr>
        <w:spacing w:after="0" w:line="176" w:lineRule="exact"/>
        <w:rPr>
          <w:sz w:val="20"/>
          <w:szCs w:val="20"/>
          <w:color w:val="auto"/>
        </w:rPr>
      </w:pPr>
    </w:p>
    <w:p>
      <w:pPr>
        <w:jc w:val="both"/>
        <w:ind w:left="4" w:firstLine="282"/>
        <w:spacing w:after="0" w:line="271" w:lineRule="auto"/>
        <w:tabs>
          <w:tab w:leader="none" w:pos="512"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anything contained in this Agreement to the contrary, in the event that the Commission limits the amount of Registrable Shares or otherwise requires a reduction in the number of Registrable Shares that may be included and sold by the Purchasers in the Mandatory Registration Statement (in each case, subject to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then the Company shall prepare and file (i) within ten (10) Business Days of the first date or time that such excluded Registrable Shares may then be included in a Resale Registration Statement if the Commission shall have notified the Company that certain Registrable Shares were not eligible for inclusion in the Resale Registration Statement or</w:t>
      </w:r>
    </w:p>
    <w:p>
      <w:pPr>
        <w:spacing w:after="0" w:line="2" w:lineRule="exact"/>
        <w:rPr>
          <w:rFonts w:ascii="Times New Roman" w:cs="Times New Roman" w:eastAsia="Times New Roman" w:hAnsi="Times New Roman"/>
          <w:sz w:val="15"/>
          <w:szCs w:val="15"/>
          <w:color w:val="auto"/>
        </w:rPr>
      </w:pPr>
    </w:p>
    <w:p>
      <w:pPr>
        <w:jc w:val="both"/>
        <w:ind w:left="4" w:hanging="4"/>
        <w:spacing w:after="0" w:line="251" w:lineRule="auto"/>
        <w:tabs>
          <w:tab w:leader="none" w:pos="267"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all other cases, within twenty (20) days following the date that the Company becomes aware that such additional Resale Registration Statement is required (the “</w:t>
      </w:r>
      <w:r>
        <w:rPr>
          <w:rFonts w:ascii="Times New Roman" w:cs="Times New Roman" w:eastAsia="Times New Roman" w:hAnsi="Times New Roman"/>
          <w:sz w:val="16"/>
          <w:szCs w:val="16"/>
          <w:b w:val="1"/>
          <w:bCs w:val="1"/>
          <w:color w:val="auto"/>
        </w:rPr>
        <w:t>Additional Filing Date</w:t>
      </w:r>
      <w:r>
        <w:rPr>
          <w:rFonts w:ascii="Times New Roman" w:cs="Times New Roman" w:eastAsia="Times New Roman" w:hAnsi="Times New Roman"/>
          <w:sz w:val="16"/>
          <w:szCs w:val="16"/>
          <w:color w:val="auto"/>
        </w:rPr>
        <w:t>”), a Resale Registration Statement (any such Resale Registration Statement registering such excluded Registrable Shares, an “</w:t>
      </w:r>
      <w:r>
        <w:rPr>
          <w:rFonts w:ascii="Times New Roman" w:cs="Times New Roman" w:eastAsia="Times New Roman" w:hAnsi="Times New Roman"/>
          <w:sz w:val="16"/>
          <w:szCs w:val="16"/>
          <w:b w:val="1"/>
          <w:bCs w:val="1"/>
          <w:color w:val="auto"/>
        </w:rPr>
        <w:t>Additional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Registration Statement</w:t>
      </w:r>
      <w:r>
        <w:rPr>
          <w:rFonts w:ascii="Times New Roman" w:cs="Times New Roman" w:eastAsia="Times New Roman" w:hAnsi="Times New Roman"/>
          <w:sz w:val="16"/>
          <w:szCs w:val="16"/>
          <w:color w:val="auto"/>
        </w:rPr>
        <w:t>”) to register any Registrable Shares that have been excluded (or, if applicable, the maximum number of such excluded Registrable Shares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is permitted to register for resale on such Additional Registration Statement consistent with Commission guidance), if any, from being registered on the Mandatory Registration Statement;</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2" w:name="page23"/>
    <w:bookmarkEnd w:id="22"/>
    <w:p>
      <w:pPr>
        <w:jc w:val="both"/>
        <w:ind w:right="20" w:firstLine="282"/>
        <w:spacing w:after="0" w:line="265" w:lineRule="auto"/>
        <w:tabs>
          <w:tab w:leader="none" w:pos="51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its commercially reasonable efforts to cause any such Additional Registration Statement to be declared effective as promptly as practicable following the Additional Filing Date, such efforts to include, without limiting the generality of the foregoing, preparing and filing with the Commission any financial statements or other information that is required to be filed prior to the effectiveness of any such Additional Registration Statement;</w:t>
      </w:r>
    </w:p>
    <w:p>
      <w:pPr>
        <w:spacing w:after="0" w:line="155"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1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prepare and file with the Commission such amendments and supplements to such Resale Registration Statements and the prospectus used in connection therewith as may be necessary to keep such Resale Registration Statements continuously effective and free from any material misstatement or omission to state a material fact therein until termination of such obligation as provided in </w:t>
      </w:r>
      <w:r>
        <w:rPr>
          <w:rFonts w:ascii="Times New Roman" w:cs="Times New Roman" w:eastAsia="Times New Roman" w:hAnsi="Times New Roman"/>
          <w:sz w:val="16"/>
          <w:szCs w:val="16"/>
          <w:u w:val="single" w:color="auto"/>
          <w:color w:val="auto"/>
        </w:rPr>
        <w:t>Section 4.6</w:t>
      </w:r>
      <w:r>
        <w:rPr>
          <w:rFonts w:ascii="Times New Roman" w:cs="Times New Roman" w:eastAsia="Times New Roman" w:hAnsi="Times New Roman"/>
          <w:sz w:val="16"/>
          <w:szCs w:val="16"/>
          <w:color w:val="auto"/>
        </w:rPr>
        <w:t xml:space="preserve"> below, subject to the Company’s right to suspend pursuant to </w:t>
      </w:r>
      <w:r>
        <w:rPr>
          <w:rFonts w:ascii="Times New Roman" w:cs="Times New Roman" w:eastAsia="Times New Roman" w:hAnsi="Times New Roman"/>
          <w:sz w:val="16"/>
          <w:szCs w:val="16"/>
          <w:u w:val="single" w:color="auto"/>
          <w:color w:val="auto"/>
        </w:rPr>
        <w:t>Section 4.5</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firstLine="282"/>
        <w:spacing w:after="0" w:line="280" w:lineRule="auto"/>
        <w:tabs>
          <w:tab w:leader="none" w:pos="492"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 to the Purchasers such number of copies of prospectuses in conformity with the requirements of the Securities Act and such other documents as the Purchasers may reasonably request, in order to facilitate the public sale or other disposition of all or any of the Registrable Shares by the Purchasers;</w:t>
      </w:r>
    </w:p>
    <w:p>
      <w:pPr>
        <w:spacing w:after="0" w:line="144" w:lineRule="exact"/>
        <w:rPr>
          <w:rFonts w:ascii="Times New Roman" w:cs="Times New Roman" w:eastAsia="Times New Roman" w:hAnsi="Times New Roman"/>
          <w:sz w:val="16"/>
          <w:szCs w:val="16"/>
          <w:color w:val="auto"/>
        </w:rPr>
      </w:pPr>
    </w:p>
    <w:p>
      <w:pPr>
        <w:jc w:val="both"/>
        <w:ind w:firstLine="282"/>
        <w:spacing w:after="0" w:line="259" w:lineRule="auto"/>
        <w:tabs>
          <w:tab w:leader="none" w:pos="513"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file such documents as may be required of the Company for normal securities law clearance for the resale of the Registrable Shares in such states of the United States as may be reasonably requested by the Purchasers and use its commercially reasonable efforts to maintain such blue sky qualifications during the period the Company is required to maintain effectiveness of the Resale Registration Statements;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the Company shall not be required in connection with this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(g) to qualify as a foreign corporation or execute a general consent to service of process in any jurisdiction in which it is not now so qualified or has not so consented;</w:t>
      </w:r>
    </w:p>
    <w:p>
      <w:pPr>
        <w:spacing w:after="0" w:line="161" w:lineRule="exact"/>
        <w:rPr>
          <w:rFonts w:ascii="Times New Roman" w:cs="Times New Roman" w:eastAsia="Times New Roman" w:hAnsi="Times New Roman"/>
          <w:sz w:val="16"/>
          <w:szCs w:val="16"/>
          <w:color w:val="auto"/>
        </w:rPr>
      </w:pPr>
    </w:p>
    <w:p>
      <w:pPr>
        <w:jc w:val="both"/>
        <w:ind w:firstLine="282"/>
        <w:spacing w:after="0" w:line="265" w:lineRule="auto"/>
        <w:tabs>
          <w:tab w:leader="none" w:pos="519"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notification by the Commission that the Resale Registration Statement will not be reviewed or is not subject to further review by the Commission, the Company shall within three (3) Business Days following the date of such notification request acceleration of such Resale Registration Statement (with the requested effectiveness date to be not more than two (2) Business Days from the date of such acceleration request);</w:t>
      </w:r>
    </w:p>
    <w:p>
      <w:pPr>
        <w:spacing w:after="0" w:line="155" w:lineRule="exact"/>
        <w:rPr>
          <w:rFonts w:ascii="Times New Roman" w:cs="Times New Roman" w:eastAsia="Times New Roman" w:hAnsi="Times New Roman"/>
          <w:sz w:val="16"/>
          <w:szCs w:val="16"/>
          <w:color w:val="auto"/>
        </w:rPr>
      </w:pPr>
    </w:p>
    <w:p>
      <w:pPr>
        <w:ind w:right="20" w:firstLine="282"/>
        <w:spacing w:after="0" w:line="280" w:lineRule="auto"/>
        <w:tabs>
          <w:tab w:leader="none" w:pos="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notification by the Commission that the Resale Registration Statement has been declared effective by the Commission, the Company shall file the final prospectus under Rule 424 by 9:30 a.m. New York time on the Business Day following the date such Resale Registration Statement has been declared effective;</w:t>
      </w:r>
    </w:p>
    <w:p>
      <w:pPr>
        <w:spacing w:after="0" w:line="144" w:lineRule="exact"/>
        <w:rPr>
          <w:rFonts w:ascii="Times New Roman" w:cs="Times New Roman" w:eastAsia="Times New Roman" w:hAnsi="Times New Roman"/>
          <w:sz w:val="16"/>
          <w:szCs w:val="16"/>
          <w:color w:val="auto"/>
        </w:rPr>
      </w:pPr>
    </w:p>
    <w:p>
      <w:pPr>
        <w:ind w:left="480" w:hanging="198"/>
        <w:spacing w:after="0"/>
        <w:tabs>
          <w:tab w:leader="none" w:pos="4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advise the Purchasers promptly (provided that in no event shall such notice contain any material, non-public information):</w:t>
      </w:r>
    </w:p>
    <w:p>
      <w:pPr>
        <w:spacing w:after="0" w:line="198" w:lineRule="exact"/>
        <w:rPr>
          <w:rFonts w:ascii="Times New Roman" w:cs="Times New Roman" w:eastAsia="Times New Roman" w:hAnsi="Times New Roman"/>
          <w:sz w:val="16"/>
          <w:szCs w:val="16"/>
          <w:color w:val="auto"/>
        </w:rPr>
      </w:pPr>
    </w:p>
    <w:p>
      <w:pPr>
        <w:ind w:left="1040" w:hanging="184"/>
        <w:spacing w:after="0"/>
        <w:tabs>
          <w:tab w:leader="none" w:pos="104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effectiveness of the Resale Registration Statement or any post-effective amendments thereto;</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3" w:name="page24"/>
    <w:bookmarkEnd w:id="23"/>
    <w:p>
      <w:pPr>
        <w:ind w:left="864"/>
        <w:spacing w:after="0"/>
        <w:rPr>
          <w:sz w:val="20"/>
          <w:szCs w:val="20"/>
          <w:color w:val="auto"/>
        </w:rPr>
      </w:pPr>
      <w:r>
        <w:rPr>
          <w:rFonts w:ascii="Times New Roman" w:cs="Times New Roman" w:eastAsia="Times New Roman" w:hAnsi="Times New Roman"/>
          <w:sz w:val="15"/>
          <w:szCs w:val="15"/>
          <w:color w:val="auto"/>
        </w:rPr>
        <w:t>(ii) of any request by the Commission for amendments to the Resale Registration Statement or amendments to the prospectus or for additional information relating</w:t>
      </w:r>
    </w:p>
    <w:p>
      <w:pPr>
        <w:spacing w:after="0" w:line="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thereto;</w:t>
      </w:r>
    </w:p>
    <w:p>
      <w:pPr>
        <w:spacing w:after="0" w:line="182" w:lineRule="exact"/>
        <w:rPr>
          <w:sz w:val="20"/>
          <w:szCs w:val="20"/>
          <w:color w:val="auto"/>
        </w:rPr>
      </w:pPr>
    </w:p>
    <w:p>
      <w:pPr>
        <w:jc w:val="both"/>
        <w:ind w:left="4" w:right="20" w:firstLine="856"/>
        <w:spacing w:after="0" w:line="265" w:lineRule="auto"/>
        <w:tabs>
          <w:tab w:leader="none" w:pos="1159"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issuance by the Commission of any stop order suspending the effectiveness of the Resale Registration Statement under the Securities Act or of the suspension by any state securities commission of the qualification of the Registrable Shares for offering or sale in any jurisdiction, or the initiation of any proceeding for any of the preceding purposes; and</w:t>
      </w:r>
    </w:p>
    <w:p>
      <w:pPr>
        <w:spacing w:after="0" w:line="155" w:lineRule="exact"/>
        <w:rPr>
          <w:rFonts w:ascii="Times New Roman" w:cs="Times New Roman" w:eastAsia="Times New Roman" w:hAnsi="Times New Roman"/>
          <w:sz w:val="16"/>
          <w:szCs w:val="16"/>
          <w:color w:val="auto"/>
        </w:rPr>
      </w:pPr>
    </w:p>
    <w:p>
      <w:pPr>
        <w:jc w:val="both"/>
        <w:ind w:left="4" w:firstLine="856"/>
        <w:spacing w:after="0" w:line="259" w:lineRule="auto"/>
        <w:tabs>
          <w:tab w:leader="none" w:pos="1156" w:val="left"/>
        </w:tabs>
        <w:numPr>
          <w:ilvl w:val="1"/>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existence of any fact and the happening of any event that makes any statement of a material fact made in the Resale Registration Statement, the prospectus and amendment or supplement thereto, or any document incorporated by reference therein, untrue, or that requires the making of any additions to or changes in the Resale Registration Statement or the prospectus in order to make the statements therein, in the light of the circumstances under which they were made, not misleading, provided such notice shall not disclose any material, non-public information concerning the Company to the Purchasers;</w:t>
      </w:r>
    </w:p>
    <w:p>
      <w:pPr>
        <w:spacing w:after="0" w:line="161" w:lineRule="exact"/>
        <w:rPr>
          <w:rFonts w:ascii="Times New Roman" w:cs="Times New Roman" w:eastAsia="Times New Roman" w:hAnsi="Times New Roman"/>
          <w:sz w:val="16"/>
          <w:szCs w:val="16"/>
          <w:color w:val="auto"/>
        </w:rPr>
      </w:pPr>
    </w:p>
    <w:p>
      <w:pPr>
        <w:ind w:left="504" w:hanging="218"/>
        <w:spacing w:after="0"/>
        <w:tabs>
          <w:tab w:leader="none" w:pos="50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cause all Registrable Shares to be listed on each securities exchange, if any, on which equity securities by the Company are then listed; and</w:t>
      </w:r>
    </w:p>
    <w:p>
      <w:pPr>
        <w:spacing w:after="0" w:line="198" w:lineRule="exact"/>
        <w:rPr>
          <w:rFonts w:ascii="Times New Roman" w:cs="Times New Roman" w:eastAsia="Times New Roman" w:hAnsi="Times New Roman"/>
          <w:sz w:val="16"/>
          <w:szCs w:val="16"/>
          <w:color w:val="auto"/>
        </w:rPr>
      </w:pPr>
    </w:p>
    <w:p>
      <w:pPr>
        <w:ind w:left="4" w:firstLine="282"/>
        <w:spacing w:after="0" w:line="280"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bear all expenses in connection with the procedures in paragraphs (a) through (k) of this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and the registration of the Registrable Shares on such Resale Registration Statement and the satisfaction of the blue sky laws of such states (but excluding the fees of legal counsel for any Purchaser).</w:t>
      </w:r>
    </w:p>
    <w:p>
      <w:pPr>
        <w:spacing w:after="0" w:line="142"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i w:val="1"/>
          <w:iCs w:val="1"/>
          <w:color w:val="auto"/>
        </w:rPr>
        <w:t>Rule 415; Cutback.</w:t>
      </w:r>
      <w:r>
        <w:rPr>
          <w:rFonts w:ascii="Times New Roman" w:cs="Times New Roman" w:eastAsia="Times New Roman" w:hAnsi="Times New Roman"/>
          <w:sz w:val="15"/>
          <w:szCs w:val="15"/>
          <w:color w:val="auto"/>
        </w:rPr>
        <w:t xml:space="preserve"> If at any time the Staff takes the position that the offering of some or all of the Registrable Shares in a Resale Registration Statement is not eligible to be made on a delayed or continuous basis under the provisions of Rule 415 under the Securities Act or requires any Purchaser to be named as an “underwriter,” the Company shall use its commercially reasonable efforts to persuade the Commission that the offering contemplated by the Resale Registration Statement is a valid secondary offering and not an offering “by or on behalf of the issuer” as defined in Rule 415 and that none of the Purchasers is an “underwriter;”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Commission requests that a Purchaser be identified as a statutory underwriter in the Resale Registration Statement, such Purchaser will have the opportunity to withdraw from the Resale Registration Statement upon its prompt written request to the Company. In the event that, despite the Company’s commercially reasonable efforts and compliance with the terms of this </w:t>
      </w:r>
      <w:r>
        <w:rPr>
          <w:rFonts w:ascii="Times New Roman" w:cs="Times New Roman" w:eastAsia="Times New Roman" w:hAnsi="Times New Roman"/>
          <w:sz w:val="15"/>
          <w:szCs w:val="15"/>
          <w:u w:val="single" w:color="auto"/>
          <w:color w:val="auto"/>
        </w:rPr>
        <w:t>Section 4.3</w:t>
      </w:r>
      <w:r>
        <w:rPr>
          <w:rFonts w:ascii="Times New Roman" w:cs="Times New Roman" w:eastAsia="Times New Roman" w:hAnsi="Times New Roman"/>
          <w:sz w:val="15"/>
          <w:szCs w:val="15"/>
          <w:color w:val="auto"/>
        </w:rPr>
        <w:t>, the Staff refuses to alter its position, the Company shall (i) remove from the Resale Registration Statement such portion of the Registrable Shares (the “</w:t>
      </w:r>
      <w:r>
        <w:rPr>
          <w:rFonts w:ascii="Times New Roman" w:cs="Times New Roman" w:eastAsia="Times New Roman" w:hAnsi="Times New Roman"/>
          <w:sz w:val="15"/>
          <w:szCs w:val="15"/>
          <w:b w:val="1"/>
          <w:bCs w:val="1"/>
          <w:color w:val="auto"/>
        </w:rPr>
        <w:t>Cut Back Shares</w:t>
      </w:r>
      <w:r>
        <w:rPr>
          <w:rFonts w:ascii="Times New Roman" w:cs="Times New Roman" w:eastAsia="Times New Roman" w:hAnsi="Times New Roman"/>
          <w:sz w:val="15"/>
          <w:szCs w:val="15"/>
          <w:color w:val="auto"/>
        </w:rPr>
        <w:t>”) and/or</w:t>
      </w:r>
    </w:p>
    <w:p>
      <w:pPr>
        <w:spacing w:after="0" w:line="4" w:lineRule="exact"/>
        <w:rPr>
          <w:sz w:val="20"/>
          <w:szCs w:val="20"/>
          <w:color w:val="auto"/>
        </w:rPr>
      </w:pPr>
    </w:p>
    <w:p>
      <w:pPr>
        <w:jc w:val="both"/>
        <w:ind w:left="4" w:right="20" w:hanging="4"/>
        <w:spacing w:after="0" w:line="236" w:lineRule="auto"/>
        <w:tabs>
          <w:tab w:leader="none" w:pos="25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 to such restrictions and limitations on the registration and resale of the Registrable Shares as the Staff may require to assure the Company’s compliance with the requirements of Rule 415 (collectively, the “</w:t>
      </w:r>
      <w:r>
        <w:rPr>
          <w:rFonts w:ascii="Times New Roman" w:cs="Times New Roman" w:eastAsia="Times New Roman" w:hAnsi="Times New Roman"/>
          <w:sz w:val="16"/>
          <w:szCs w:val="16"/>
          <w:b w:val="1"/>
          <w:bCs w:val="1"/>
          <w:color w:val="auto"/>
        </w:rPr>
        <w:t>SEC Restrictions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the Company shall not agree to name any Purchaser as an “underwriter” in such Resale Registration Statement without the prior written consent of such Purchaser. Any cutback imposed on the Purchasers pursuant to this </w:t>
      </w:r>
      <w:r>
        <w:rPr>
          <w:rFonts w:ascii="Times New Roman" w:cs="Times New Roman" w:eastAsia="Times New Roman" w:hAnsi="Times New Roman"/>
          <w:sz w:val="16"/>
          <w:szCs w:val="16"/>
          <w:u w:val="single" w:color="auto"/>
          <w:color w:val="auto"/>
        </w:rPr>
        <w:t>Section 4.3</w:t>
      </w:r>
      <w:r>
        <w:rPr>
          <w:rFonts w:ascii="Times New Roman" w:cs="Times New Roman" w:eastAsia="Times New Roman" w:hAnsi="Times New Roman"/>
          <w:sz w:val="16"/>
          <w:szCs w:val="16"/>
          <w:color w:val="auto"/>
        </w:rPr>
        <w:t xml:space="preserve"> shall be allocated among the Purchasers on a pro rata basis, unless the SEC Restrictions otherwise require or provide. No damages shall accrue as to any Cut Back Shares until such date as the Company is able to effect the registration of such Cut Back Shares in accordance with any SEC Restrictions (such date, the “</w:t>
      </w:r>
      <w:r>
        <w:rPr>
          <w:rFonts w:ascii="Times New Roman" w:cs="Times New Roman" w:eastAsia="Times New Roman" w:hAnsi="Times New Roman"/>
          <w:sz w:val="16"/>
          <w:szCs w:val="16"/>
          <w:b w:val="1"/>
          <w:bCs w:val="1"/>
          <w:color w:val="auto"/>
        </w:rPr>
        <w:t>Restriction Termination Date</w:t>
      </w:r>
      <w:r>
        <w:rPr>
          <w:rFonts w:ascii="Times New Roman" w:cs="Times New Roman" w:eastAsia="Times New Roman" w:hAnsi="Times New Roman"/>
          <w:sz w:val="16"/>
          <w:szCs w:val="16"/>
          <w:color w:val="auto"/>
        </w:rPr>
        <w:t xml:space="preserve">” of such Cut Back Shares). From and after the Restriction Termination Date applicable to any Cut Back Shares, all of the provisions of this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shall again be applicable to such Cut Back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(x) the filing deadline for the Resale Registration Statement including such Cut Back Shares shall be ten (10) Business Days after such Restriction Termination Date, and (y) the Effectiveness Deadline with respect to such Cut Back Shares shall be the 150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immediately after the Restriction Termination</w:t>
      </w:r>
    </w:p>
    <w:p>
      <w:pPr>
        <w:spacing w:after="0" w:line="6" w:lineRule="exact"/>
        <w:rPr>
          <w:sz w:val="20"/>
          <w:szCs w:val="20"/>
          <w:color w:val="auto"/>
        </w:rPr>
      </w:pPr>
    </w:p>
    <w:p>
      <w:pPr>
        <w:ind w:left="4" w:right="20"/>
        <w:spacing w:after="0" w:line="207" w:lineRule="auto"/>
        <w:rPr>
          <w:sz w:val="20"/>
          <w:szCs w:val="20"/>
          <w:color w:val="auto"/>
        </w:rPr>
      </w:pPr>
      <w:r>
        <w:rPr>
          <w:rFonts w:ascii="Times New Roman" w:cs="Times New Roman" w:eastAsia="Times New Roman" w:hAnsi="Times New Roman"/>
          <w:sz w:val="16"/>
          <w:szCs w:val="16"/>
          <w:color w:val="auto"/>
        </w:rPr>
        <w:t>Date or the 180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if the Staff reviews such Resale Registration Statement (but in any event no later than three (3) Business Days from the Staff indicating it has no further comments on such Resale Registration Statement).</w:t>
      </w:r>
    </w:p>
    <w:p>
      <w:pPr>
        <w:spacing w:after="0" w:line="3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color w:val="auto"/>
        </w:rPr>
        <w:t xml:space="preserve">4.4. </w:t>
      </w:r>
      <w:r>
        <w:rPr>
          <w:rFonts w:ascii="Times New Roman" w:cs="Times New Roman" w:eastAsia="Times New Roman" w:hAnsi="Times New Roman"/>
          <w:sz w:val="16"/>
          <w:szCs w:val="16"/>
          <w:i w:val="1"/>
          <w:iCs w:val="1"/>
          <w:color w:val="auto"/>
        </w:rPr>
        <w:t>Indemnification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jc w:val="both"/>
        <w:ind w:firstLine="282"/>
        <w:spacing w:after="0" w:line="251" w:lineRule="auto"/>
        <w:tabs>
          <w:tab w:leader="none" w:pos="51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termination of this Agreement, the Company agrees to indemnify, defend and hold harmless each Purchaser and each of their respective officers, directors, and each person, if any, who controls such Purchaser within the meaning of the Securities Act or the Exchange Act, to the fullest extent permitted by applicable law, from and against any losses, claims, damages, liabilities, costs (including without limitation reasonable costs of preparation and investigation and reasonable attorneys’ fees), expenses and disbursements (collectively, “</w:t>
      </w:r>
      <w:r>
        <w:rPr>
          <w:rFonts w:ascii="Times New Roman" w:cs="Times New Roman" w:eastAsia="Times New Roman" w:hAnsi="Times New Roman"/>
          <w:sz w:val="16"/>
          <w:szCs w:val="16"/>
          <w:b w:val="1"/>
          <w:bCs w:val="1"/>
          <w:color w:val="auto"/>
        </w:rPr>
        <w:t>Losses</w:t>
      </w:r>
      <w:r>
        <w:rPr>
          <w:rFonts w:ascii="Times New Roman" w:cs="Times New Roman" w:eastAsia="Times New Roman" w:hAnsi="Times New Roman"/>
          <w:sz w:val="16"/>
          <w:szCs w:val="16"/>
          <w:color w:val="auto"/>
        </w:rPr>
        <w:t xml:space="preserve">”) as incurred to which they become subject (under the Securities Act or otherwise) insofar as such Losses arise out of, or are based upon, (i) any material breach of this Agreement by the Company, (ii) any untrue statement or alleged untrue statement of a material fact contained in the Resale Registration Statement or any omission or alleged omission to state therein a material fact required to be stated therein or necessary to make the statements therein, in light of the circumstances under which they were made, not misleading, (iii) any misrepresentation or breach of any representation or warranty made by the Company in the Transaction Documents, or (iv) any failure by the Company to fulfill any undertaking included in the Resale Registration Statement and the Company will, as incurred, reimburse each Purchaser, and each of their respective officers, directors, agents, partners, members, managers, stockholders, Affiliates, investment advisers and employees of each of them, and each person, if any, who controls such Purchaser within the meaning of the Securities Act or the Exchange 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that the Company shall not be liable in any such case solely to the extent that such Loss is caused by an untrue statement or omission or alleged untrue statement or omission made in any prospectus if either (A) (1) the Purchaser failed to send or deliver a copy of the final prospectus with or prior to, or the Purchaser failed to confirm that a final prospectus was deemed to be delivered prior to (in accordance with Rule 172 of the Securities Act), the delivery of written confirmation of the sale by a Purchaser to the person asserting the claim from which such Loss resulted and (2) the final prospectus corrected such untrue statement or omission, (B) (1) such untrue statement or omission is corrected in an amendment or supplement to the prospectus and (2) having previously been furnished by or on behalf of the Company with copies of the prospectus as so amended or supplemented or notified by the Company that such amended or supplemented prospectus has been filed with the Commission, in accordance with Rule 172 of the Securities Act, any Purchaser thereafter fails to deliver such prospectus as so amended or supplemented, with or prior to or a Purchaser fails to confirm that the prospectus as so amended or supplemented was deemed to be delivered prior to (in accordance with Rule 172 of the Securities Act), the delivery of written confirmation of the sale by a Purchaser to the person asserting the claim from which such Loss resulted.</w:t>
      </w:r>
    </w:p>
    <w:p>
      <w:pPr>
        <w:spacing w:after="0" w:line="168" w:lineRule="exact"/>
        <w:rPr>
          <w:rFonts w:ascii="Times New Roman" w:cs="Times New Roman" w:eastAsia="Times New Roman" w:hAnsi="Times New Roman"/>
          <w:sz w:val="16"/>
          <w:szCs w:val="16"/>
          <w:color w:val="auto"/>
        </w:rPr>
      </w:pPr>
    </w:p>
    <w:p>
      <w:pPr>
        <w:jc w:val="both"/>
        <w:ind w:firstLine="282"/>
        <w:spacing w:after="0" w:line="252" w:lineRule="auto"/>
        <w:tabs>
          <w:tab w:leader="none" w:pos="51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Purchaser agrees, severally and not jointly, to indemnify and hold harmless the Company (and each person, if any, who controls the Company within the meaning of Section 15 of the Securities Act or Section 20 of the Exchange Act, each officer of the Company who signs the Resale Registration Statement and each director of the Company), from and against any Losses, claims, damages or liabilities to which the Company (or any such officer, director or controlling person) may become subject (under the Securities Act or otherwise), insofar as such losses, claims, damages or liabilities (or actions or proceedings in respect thereof) arise out of, or are based upon, any untrue statement or alleged untrue statement of a material fact contained in the Resale Registration Statement (or any omission or alleged omission to state therein a material fact required to be stated therein or necessary to make the statements therein, in light of the circumstances under which they were made, not misleading in each case, on the effective date thereof), if, and only to the extent, such untrue statement or omission or alleged untrue statement or omission was made in reliance upon and in conformity with written information furnished by or on behalf of such Purchaser relating to such Purchaser specifically for use in preparation of the Resale Registration Statement, and each Purchaser, severally and not jointly, will reimburse the Company (and each of its officers, directors or controlling persons) for any legal or other expenses reasonably incurred in investigating, defending or preparing to defend any such action, proceeding or claim;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however, that in no event shall any indemnity under this </w:t>
      </w:r>
      <w:r>
        <w:rPr>
          <w:rFonts w:ascii="Times New Roman" w:cs="Times New Roman" w:eastAsia="Times New Roman" w:hAnsi="Times New Roman"/>
          <w:sz w:val="16"/>
          <w:szCs w:val="16"/>
          <w:u w:val="single" w:color="auto"/>
          <w:color w:val="auto"/>
        </w:rPr>
        <w:t>Section 4.4(b)</w:t>
      </w:r>
      <w:r>
        <w:rPr>
          <w:rFonts w:ascii="Times New Roman" w:cs="Times New Roman" w:eastAsia="Times New Roman" w:hAnsi="Times New Roman"/>
          <w:sz w:val="16"/>
          <w:szCs w:val="16"/>
          <w:color w:val="auto"/>
        </w:rPr>
        <w:t xml:space="preserve"> for any Purchaser be greater in amount than the dollar amount of the net proceeds received by such Purchaser upon its sale of such Registrable Shares giving rise to such indemnification obligation.</w:t>
      </w:r>
    </w:p>
    <w:p>
      <w:pPr>
        <w:spacing w:after="0" w:line="167" w:lineRule="exact"/>
        <w:rPr>
          <w:rFonts w:ascii="Times New Roman" w:cs="Times New Roman" w:eastAsia="Times New Roman" w:hAnsi="Times New Roman"/>
          <w:sz w:val="16"/>
          <w:szCs w:val="16"/>
          <w:color w:val="auto"/>
        </w:rPr>
      </w:pPr>
    </w:p>
    <w:p>
      <w:pPr>
        <w:jc w:val="both"/>
        <w:ind w:firstLine="282"/>
        <w:spacing w:after="0" w:line="252" w:lineRule="auto"/>
        <w:tabs>
          <w:tab w:leader="none" w:pos="526"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Promptly after receipt by any indemnified person of a notice of a claim or the beginning of any action in respect of which indemnity is to be sought against an indemnifying person pursuant to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such indemnified person shall notify the indemnifying person in writing of such claim or of the commencement of such action, and, subject to the provisions hereinafter stated, in case any such action shall be brought against an indemnified person and such indemnifying person shall have been notified thereof, such indemnifying person shall be entitled to participate therein, and, to the extent that it shall wish, to assume the defense thereof, with counsel reasonably satisfactory to such indemnified person. After notice from the indemnifying person to such indemnified person of its election to assume the defense thereof, such indemnifying person shall not be liable to such indemnified person for any legal expenses subsequently incurred by such indemnified person in connection with the defense thereof;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if there exists or shall exist a conflict of interest that would make it inappropriate in the reasonable judgment of the indemnified person for the same counsel to represent both the indemnified person and such indemnifying person or any affiliate or associate thereof, the indemnified person shall be entitled to retain its own counsel at the expense of such indemnifying person; and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further</w:t>
      </w:r>
      <w:r>
        <w:rPr>
          <w:rFonts w:ascii="Times New Roman" w:cs="Times New Roman" w:eastAsia="Times New Roman" w:hAnsi="Times New Roman"/>
          <w:sz w:val="16"/>
          <w:szCs w:val="16"/>
          <w:color w:val="auto"/>
        </w:rPr>
        <w:t>, that no indemnifying person shall be responsible for the fees and expense of more than one separate counsel for all indemnified parties. The indemnifying party shall not settle an action without the consent of the indemnified party, which consent shall not be unreasonably withheld.</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5" w:name="page26"/>
    <w:bookmarkEnd w:id="25"/>
    <w:p>
      <w:pPr>
        <w:jc w:val="both"/>
        <w:ind w:left="4" w:firstLine="282"/>
        <w:spacing w:after="0" w:line="255" w:lineRule="auto"/>
        <w:tabs>
          <w:tab w:leader="none" w:pos="523"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indemnification provided for in this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is held by a court of competent jurisdiction to be unavailable to an indemnified party with respect to any losses, claims, damages or liabilities referred to herein, the indemnifying party, in lieu of indemnifying such indemnified party thereunder, shall to the extent permitted by applicable law contribute to the amount paid or payable by such indemnified party as a result of such loss, claim, damage or liability in such proportion as is appropriate to reflect the relative fault of the indemnifying party on the one hand and of the indemnified party on the other, as well as any other relevant equitable considerations;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in no event shall any contribution by a Purchaser as an indemnifying party hereunder be greater in amount than the dollar amount of the net proceeds received by such Purchaser upon the sale of such Registrable Shares giving rise to such contribution obligation.</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4.5. </w:t>
      </w:r>
      <w:r>
        <w:rPr>
          <w:rFonts w:ascii="Times New Roman" w:cs="Times New Roman" w:eastAsia="Times New Roman" w:hAnsi="Times New Roman"/>
          <w:sz w:val="16"/>
          <w:szCs w:val="16"/>
          <w:i w:val="1"/>
          <w:iCs w:val="1"/>
          <w:color w:val="auto"/>
        </w:rPr>
        <w:t>Prospectus Suspension.</w:t>
      </w:r>
      <w:r>
        <w:rPr>
          <w:rFonts w:ascii="Times New Roman" w:cs="Times New Roman" w:eastAsia="Times New Roman" w:hAnsi="Times New Roman"/>
          <w:sz w:val="16"/>
          <w:szCs w:val="16"/>
          <w:color w:val="auto"/>
        </w:rPr>
        <w:t xml:space="preserve"> Each Purchaser agrees that, upon receipt of written notice from the Company of the occurrence of an event of the kind described in </w:t>
      </w:r>
      <w:r>
        <w:rPr>
          <w:rFonts w:ascii="Times New Roman" w:cs="Times New Roman" w:eastAsia="Times New Roman" w:hAnsi="Times New Roman"/>
          <w:sz w:val="16"/>
          <w:szCs w:val="16"/>
          <w:u w:val="single" w:color="auto"/>
          <w:color w:val="auto"/>
        </w:rPr>
        <w:t>Sections 4.2(j)</w:t>
      </w:r>
    </w:p>
    <w:p>
      <w:pPr>
        <w:spacing w:after="0" w:line="26" w:lineRule="exact"/>
        <w:rPr>
          <w:sz w:val="20"/>
          <w:szCs w:val="20"/>
          <w:color w:val="auto"/>
        </w:rPr>
      </w:pPr>
    </w:p>
    <w:p>
      <w:pPr>
        <w:jc w:val="both"/>
        <w:ind w:left="4" w:right="20" w:hanging="4"/>
        <w:spacing w:after="0" w:line="254" w:lineRule="auto"/>
        <w:tabs>
          <w:tab w:leader="none" w:pos="283" w:val="left"/>
        </w:tabs>
        <w:numPr>
          <w:ilvl w:val="0"/>
          <w:numId w:val="3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or </w:t>
      </w:r>
      <w:r>
        <w:rPr>
          <w:rFonts w:ascii="Times New Roman" w:cs="Times New Roman" w:eastAsia="Times New Roman" w:hAnsi="Times New Roman"/>
          <w:sz w:val="16"/>
          <w:szCs w:val="16"/>
          <w:u w:val="single" w:color="auto"/>
          <w:color w:val="auto"/>
        </w:rPr>
        <w:t>4.2(j)(iv)</w:t>
      </w:r>
      <w:r>
        <w:rPr>
          <w:rFonts w:ascii="Times New Roman" w:cs="Times New Roman" w:eastAsia="Times New Roman" w:hAnsi="Times New Roman"/>
          <w:sz w:val="16"/>
          <w:szCs w:val="16"/>
          <w:color w:val="auto"/>
        </w:rPr>
        <w:t xml:space="preserve">, such Purchaser shall forthwith discontinue disposition of its Registrable Shares under the Registration Statement until it is advised by the Company in writing notice that the Purchasers may thereafter effect sales pursuant to said prospectus;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suspension periods shall in no event exceed thirty (60) days in any twelve (12)-month period</w:t>
      </w:r>
      <w:r>
        <w:rPr>
          <w:rFonts w:ascii="Times New Roman" w:cs="Times New Roman" w:eastAsia="Times New Roman" w:hAnsi="Times New Roman"/>
          <w:sz w:val="16"/>
          <w:szCs w:val="16"/>
          <w:i w:val="1"/>
          <w:iCs w:val="1"/>
          <w:color w:val="auto"/>
        </w:rPr>
        <w:t>.</w:t>
      </w:r>
    </w:p>
    <w:p>
      <w:pPr>
        <w:spacing w:after="0" w:line="162" w:lineRule="exact"/>
        <w:rPr>
          <w:sz w:val="20"/>
          <w:szCs w:val="20"/>
          <w:color w:val="auto"/>
        </w:rPr>
      </w:pPr>
    </w:p>
    <w:p>
      <w:pPr>
        <w:jc w:val="both"/>
        <w:ind w:left="4" w:right="20"/>
        <w:spacing w:after="0" w:line="260" w:lineRule="auto"/>
        <w:rPr>
          <w:sz w:val="20"/>
          <w:szCs w:val="20"/>
          <w:color w:val="auto"/>
        </w:rPr>
      </w:pPr>
      <w:r>
        <w:rPr>
          <w:rFonts w:ascii="Times New Roman" w:cs="Times New Roman" w:eastAsia="Times New Roman" w:hAnsi="Times New Roman"/>
          <w:sz w:val="16"/>
          <w:szCs w:val="16"/>
          <w:color w:val="auto"/>
        </w:rPr>
        <w:t xml:space="preserve">4.6. </w:t>
      </w:r>
      <w:r>
        <w:rPr>
          <w:rFonts w:ascii="Times New Roman" w:cs="Times New Roman" w:eastAsia="Times New Roman" w:hAnsi="Times New Roman"/>
          <w:sz w:val="16"/>
          <w:szCs w:val="16"/>
          <w:i w:val="1"/>
          <w:iCs w:val="1"/>
          <w:color w:val="auto"/>
        </w:rPr>
        <w:t>Termination of Obligations.</w:t>
      </w:r>
      <w:r>
        <w:rPr>
          <w:rFonts w:ascii="Times New Roman" w:cs="Times New Roman" w:eastAsia="Times New Roman" w:hAnsi="Times New Roman"/>
          <w:sz w:val="16"/>
          <w:szCs w:val="16"/>
          <w:color w:val="auto"/>
        </w:rPr>
        <w:t xml:space="preserve"> The obligations of the Company pursuant to </w:t>
      </w:r>
      <w:r>
        <w:rPr>
          <w:rFonts w:ascii="Times New Roman" w:cs="Times New Roman" w:eastAsia="Times New Roman" w:hAnsi="Times New Roman"/>
          <w:sz w:val="16"/>
          <w:szCs w:val="16"/>
          <w:u w:val="single" w:color="auto"/>
          <w:color w:val="auto"/>
        </w:rPr>
        <w:t>Section 4.2</w:t>
      </w:r>
      <w:r>
        <w:rPr>
          <w:rFonts w:ascii="Times New Roman" w:cs="Times New Roman" w:eastAsia="Times New Roman" w:hAnsi="Times New Roman"/>
          <w:sz w:val="16"/>
          <w:szCs w:val="16"/>
          <w:color w:val="auto"/>
        </w:rPr>
        <w:t xml:space="preserve"> hereof shall cease and terminate, with respect to any Registrable Shares, upon the earlier to occur of (a) such time such Registrable Shares have been resold, (b) such Registrable Shares may be sold without registration pursuant to Rule 144 promulgated under the Securities Act (or any successor rule promulgated thereafter by the Commission) with no volume or other restrictions or limitations or (c) such time as such Registrable Shares no longer remain Registrable Shares pursuant to </w:t>
      </w:r>
      <w:r>
        <w:rPr>
          <w:rFonts w:ascii="Times New Roman" w:cs="Times New Roman" w:eastAsia="Times New Roman" w:hAnsi="Times New Roman"/>
          <w:sz w:val="16"/>
          <w:szCs w:val="16"/>
          <w:u w:val="single" w:color="auto"/>
          <w:color w:val="auto"/>
        </w:rPr>
        <w:t>Section 4.1(b)</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Effectiveness Period</w:t>
      </w:r>
      <w:r>
        <w:rPr>
          <w:rFonts w:ascii="Times New Roman" w:cs="Times New Roman" w:eastAsia="Times New Roman" w:hAnsi="Times New Roman"/>
          <w:sz w:val="16"/>
          <w:szCs w:val="16"/>
          <w:color w:val="auto"/>
        </w:rPr>
        <w:t>”).</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 xml:space="preserve">4.7. </w:t>
      </w:r>
      <w:r>
        <w:rPr>
          <w:rFonts w:ascii="Times New Roman" w:cs="Times New Roman" w:eastAsia="Times New Roman" w:hAnsi="Times New Roman"/>
          <w:sz w:val="16"/>
          <w:szCs w:val="16"/>
          <w:i w:val="1"/>
          <w:iCs w:val="1"/>
          <w:color w:val="auto"/>
        </w:rPr>
        <w:t>Reporting Requirements.</w:t>
      </w:r>
    </w:p>
    <w:p>
      <w:pPr>
        <w:spacing w:after="0" w:line="200" w:lineRule="exact"/>
        <w:rPr>
          <w:sz w:val="20"/>
          <w:szCs w:val="20"/>
          <w:color w:val="auto"/>
        </w:rPr>
      </w:pPr>
    </w:p>
    <w:p>
      <w:pPr>
        <w:ind w:left="4" w:right="20" w:firstLine="282"/>
        <w:spacing w:after="0" w:line="280" w:lineRule="auto"/>
        <w:tabs>
          <w:tab w:leader="none" w:pos="50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a view to making available the benefits of certain rules and regulations of the Commission that may at any time permit the sale of the Shares to the public without registration or pursuant to a registration statement on Form F-1 or F-3, the Company agrees to:</w:t>
      </w:r>
    </w:p>
    <w:p>
      <w:pPr>
        <w:spacing w:after="0" w:line="144" w:lineRule="exact"/>
        <w:rPr>
          <w:rFonts w:ascii="Times New Roman" w:cs="Times New Roman" w:eastAsia="Times New Roman" w:hAnsi="Times New Roman"/>
          <w:sz w:val="16"/>
          <w:szCs w:val="16"/>
          <w:color w:val="auto"/>
        </w:rPr>
      </w:pPr>
    </w:p>
    <w:p>
      <w:pPr>
        <w:ind w:left="1044" w:hanging="184"/>
        <w:spacing w:after="0"/>
        <w:tabs>
          <w:tab w:leader="none" w:pos="1044"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and keep public information available, as those terms are understood and defined in Rule 144;</w:t>
      </w:r>
    </w:p>
    <w:p>
      <w:pPr>
        <w:spacing w:after="0" w:line="198" w:lineRule="exact"/>
        <w:rPr>
          <w:rFonts w:ascii="Times New Roman" w:cs="Times New Roman" w:eastAsia="Times New Roman" w:hAnsi="Times New Roman"/>
          <w:sz w:val="16"/>
          <w:szCs w:val="16"/>
          <w:color w:val="auto"/>
        </w:rPr>
      </w:pPr>
    </w:p>
    <w:p>
      <w:pPr>
        <w:ind w:left="1104" w:hanging="244"/>
        <w:spacing w:after="0"/>
        <w:tabs>
          <w:tab w:leader="none" w:pos="1104"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 with the Commission in a timely manner all reports and other documents required of the Company under the Securities Act and the Exchange Act; and</w:t>
      </w:r>
    </w:p>
    <w:p>
      <w:pPr>
        <w:spacing w:after="0" w:line="198" w:lineRule="exact"/>
        <w:rPr>
          <w:rFonts w:ascii="Times New Roman" w:cs="Times New Roman" w:eastAsia="Times New Roman" w:hAnsi="Times New Roman"/>
          <w:sz w:val="16"/>
          <w:szCs w:val="16"/>
          <w:color w:val="auto"/>
        </w:rPr>
      </w:pPr>
    </w:p>
    <w:p>
      <w:pPr>
        <w:jc w:val="both"/>
        <w:ind w:left="4" w:firstLine="856"/>
        <w:spacing w:after="0" w:line="259" w:lineRule="auto"/>
        <w:tabs>
          <w:tab w:leader="none" w:pos="1153" w:val="left"/>
        </w:tabs>
        <w:numPr>
          <w:ilvl w:val="1"/>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 long as any Purchaser owns Shares, to furnish to such Purchaser upon request (A) a written statement by the Company as to whether it is in compliance with the reporting requirements of Rule 144, the Securities Act and the Exchange Act, or whether it is qualified as a registrant whose securities may be resold pursuant to registration statement on Form F-1 or F-3, (B) a copy of the most recent annual or quarterly report of the Company and such other reports and documents so filed by the Company and (C) such other information as may be reasonably requested to permit the Purchaser to sell such securities pursuant to Rule 144.</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AGREEMENTS OF THE PARTIES</w:t>
      </w:r>
    </w:p>
    <w:p>
      <w:pPr>
        <w:spacing w:after="0" w:line="18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5.1. </w:t>
      </w:r>
      <w:r>
        <w:rPr>
          <w:rFonts w:ascii="Times New Roman" w:cs="Times New Roman" w:eastAsia="Times New Roman" w:hAnsi="Times New Roman"/>
          <w:sz w:val="16"/>
          <w:szCs w:val="16"/>
          <w:i w:val="1"/>
          <w:iCs w:val="1"/>
          <w:color w:val="auto"/>
        </w:rPr>
        <w:t>Furnishing of Information</w:t>
      </w:r>
      <w:r>
        <w:rPr>
          <w:rFonts w:ascii="Times New Roman" w:cs="Times New Roman" w:eastAsia="Times New Roman" w:hAnsi="Times New Roman"/>
          <w:sz w:val="16"/>
          <w:szCs w:val="16"/>
          <w:color w:val="auto"/>
        </w:rPr>
        <w:t>. Until the earliest of the time that no Purchaser owns Shares, the Company shall use commercially reasonable efforts to timely file (or obtain extensions in respect thereof and file within the applicable grace period) all reports required to be filed by the Company after the date hereof pursuant to the Exchange Act.</w:t>
      </w:r>
    </w:p>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5.2. </w:t>
      </w:r>
      <w:r>
        <w:rPr>
          <w:rFonts w:ascii="Times New Roman" w:cs="Times New Roman" w:eastAsia="Times New Roman" w:hAnsi="Times New Roman"/>
          <w:sz w:val="16"/>
          <w:szCs w:val="16"/>
          <w:i w:val="1"/>
          <w:iCs w:val="1"/>
          <w:color w:val="auto"/>
        </w:rPr>
        <w:t>Integration</w:t>
      </w:r>
      <w:r>
        <w:rPr>
          <w:rFonts w:ascii="Times New Roman" w:cs="Times New Roman" w:eastAsia="Times New Roman" w:hAnsi="Times New Roman"/>
          <w:sz w:val="16"/>
          <w:szCs w:val="16"/>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5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 xml:space="preserve">5.3. </w:t>
      </w:r>
      <w:r>
        <w:rPr>
          <w:rFonts w:ascii="Times New Roman" w:cs="Times New Roman" w:eastAsia="Times New Roman" w:hAnsi="Times New Roman"/>
          <w:sz w:val="15"/>
          <w:szCs w:val="15"/>
          <w:i w:val="1"/>
          <w:iCs w:val="1"/>
          <w:color w:val="auto"/>
        </w:rPr>
        <w:t>Securities Laws Disclosure; Publicity</w:t>
      </w:r>
      <w:r>
        <w:rPr>
          <w:rFonts w:ascii="Times New Roman" w:cs="Times New Roman" w:eastAsia="Times New Roman" w:hAnsi="Times New Roman"/>
          <w:sz w:val="15"/>
          <w:szCs w:val="15"/>
          <w:color w:val="auto"/>
        </w:rPr>
        <w:t>. The Company shall (a) by the Disclosure Time, issue a press release disclosing the material terms of the transactions contemplated hereby and all material, non-public information delivered to any of the Purchasers by the Company, or any of their respective officers, directors, employees or agents in connection with the transactions contemplated by the Transaction Documents, and (b) file a Current Report on Form 6-K, including the Transaction Documents filed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their respective officers, directors, employees or agents in connection with the transactions contemplated by the Transaction Documents. The Company and the Placement Agents shall consult with each other in issuing any other press releases with respect to the transactions contemplated hereby, and neither the Company nor any Purchaser shall issue any such press release nor otherwise make any such public statement (other than any filing required pursuant to Section 13 or Section 16 of the Exchange Act) without the prior consent of the Company, with respect to any press release of any Purchaser, or without the prior consent of the Placement Agents, with respect to any press release of the Company, except if such disclosure is required by law, in which case the disclosing party shall promptly provide the other party with prior notice of such public statement or communication. Notwithstanding the foregoing, the Company shall not publicly disclose the name of any Purchaser or any of its affiliates or investment advisers, including in any press release, or include the name of any Purchaser or any of its affiliates or investment advisers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provided that the Company shall provide such Purchaser with reasonable prior notice of such disclosure permitted under clause (a) or clause (b) and reasonably cooperate with such Purchaser regarding such disclosure. The parties agree and understand that the Purchasers shall be listed in the selling stockholder section of the Resale Registration Statement filed in connection with the Shares issued to the Purchasers pursuant to this Agreement.</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5.4. </w:t>
      </w:r>
      <w:r>
        <w:rPr>
          <w:rFonts w:ascii="Times New Roman" w:cs="Times New Roman" w:eastAsia="Times New Roman" w:hAnsi="Times New Roman"/>
          <w:sz w:val="16"/>
          <w:szCs w:val="16"/>
          <w:i w:val="1"/>
          <w:iCs w:val="1"/>
          <w:color w:val="auto"/>
        </w:rPr>
        <w:t>Non-Public Information</w:t>
      </w:r>
      <w:r>
        <w:rPr>
          <w:rFonts w:ascii="Times New Roman" w:cs="Times New Roman" w:eastAsia="Times New Roman" w:hAnsi="Times New Roman"/>
          <w:sz w:val="16"/>
          <w:szCs w:val="16"/>
          <w:color w:val="auto"/>
        </w:rPr>
        <w:t xml:space="preserve">. Except with respect to the material terms and conditions of the transactions contemplated by the Transaction Documents, which shall be disclosed pursuant to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prior to the receipt of such information. The Company understands and confirms that each Purchaser shall be relying on the foregoing covenant in effecting transactions in securities of the Company.</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5.5.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The Company shall use the net proceeds from the sale of the Shares hereunder for general corporate expenses, including but not limited to funding product development and research and development, and for working capital.</w:t>
      </w:r>
    </w:p>
    <w:p>
      <w:pPr>
        <w:spacing w:after="0" w:line="14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 xml:space="preserve">5.6. </w:t>
      </w:r>
      <w:r>
        <w:rPr>
          <w:rFonts w:ascii="Times New Roman" w:cs="Times New Roman" w:eastAsia="Times New Roman" w:hAnsi="Times New Roman"/>
          <w:sz w:val="16"/>
          <w:szCs w:val="16"/>
          <w:i w:val="1"/>
          <w:iCs w:val="1"/>
          <w:color w:val="auto"/>
        </w:rPr>
        <w:t>Reservation of Ordinary Share</w:t>
      </w:r>
      <w:r>
        <w:rPr>
          <w:rFonts w:ascii="Times New Roman" w:cs="Times New Roman" w:eastAsia="Times New Roman" w:hAnsi="Times New Roman"/>
          <w:sz w:val="16"/>
          <w:szCs w:val="16"/>
          <w:color w:val="auto"/>
        </w:rPr>
        <w:t>. As of the date hereof, the Company has reserved and the Company shall continue to reserve and keep available at all times, free of preemptive rights, a sufficient number of shares of Ordinary Share for the purpose of enabling the Company to issue Shares pursuant to this Agreement.</w:t>
      </w:r>
    </w:p>
    <w:p>
      <w:pPr>
        <w:spacing w:after="0" w:line="14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5.7. </w:t>
      </w:r>
      <w:r>
        <w:rPr>
          <w:rFonts w:ascii="Times New Roman" w:cs="Times New Roman" w:eastAsia="Times New Roman" w:hAnsi="Times New Roman"/>
          <w:sz w:val="16"/>
          <w:szCs w:val="16"/>
          <w:i w:val="1"/>
          <w:iCs w:val="1"/>
          <w:color w:val="auto"/>
        </w:rPr>
        <w:t>Listing of ADSs</w:t>
      </w:r>
      <w:r>
        <w:rPr>
          <w:rFonts w:ascii="Times New Roman" w:cs="Times New Roman" w:eastAsia="Times New Roman" w:hAnsi="Times New Roman"/>
          <w:sz w:val="16"/>
          <w:szCs w:val="16"/>
          <w:color w:val="auto"/>
        </w:rPr>
        <w:t>. The Company hereby agrees to use best efforts to maintain the listing or quotation of the ADSs on the Trading Market on which it is currently listed, and prior to Closing, the Company shall apply to list or quote all of the Shares on such Trading Market and promptly secure the listing of all of the Shares on such Trading Market.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7" w:name="page28"/>
    <w:bookmarkEnd w:id="27"/>
    <w:p>
      <w:pPr>
        <w:jc w:val="both"/>
        <w:ind w:left="4"/>
        <w:spacing w:after="0" w:line="272" w:lineRule="auto"/>
        <w:rPr>
          <w:sz w:val="20"/>
          <w:szCs w:val="20"/>
          <w:color w:val="auto"/>
        </w:rPr>
      </w:pPr>
      <w:r>
        <w:rPr>
          <w:rFonts w:ascii="Times New Roman" w:cs="Times New Roman" w:eastAsia="Times New Roman" w:hAnsi="Times New Roman"/>
          <w:sz w:val="15"/>
          <w:szCs w:val="15"/>
          <w:color w:val="auto"/>
        </w:rPr>
        <w:t xml:space="preserve">5.8. </w:t>
      </w:r>
      <w:r>
        <w:rPr>
          <w:rFonts w:ascii="Times New Roman" w:cs="Times New Roman" w:eastAsia="Times New Roman" w:hAnsi="Times New Roman"/>
          <w:sz w:val="15"/>
          <w:szCs w:val="15"/>
          <w:i w:val="1"/>
          <w:iCs w:val="1"/>
          <w:color w:val="auto"/>
        </w:rPr>
        <w:t>Certain Transactions and Confidentiality</w:t>
      </w:r>
      <w:r>
        <w:rPr>
          <w:rFonts w:ascii="Times New Roman" w:cs="Times New Roman" w:eastAsia="Times New Roman" w:hAnsi="Times New Roman"/>
          <w:sz w:val="15"/>
          <w:szCs w:val="15"/>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on the earlier of (i) at such time that the transactions contemplated by this Agreement are first publicly announced pursuant to the initial press release as described in </w:t>
      </w:r>
      <w:r>
        <w:rPr>
          <w:rFonts w:ascii="Times New Roman" w:cs="Times New Roman" w:eastAsia="Times New Roman" w:hAnsi="Times New Roman"/>
          <w:sz w:val="15"/>
          <w:szCs w:val="15"/>
          <w:u w:val="single" w:color="auto"/>
          <w:color w:val="auto"/>
        </w:rPr>
        <w:t>Section 5.3</w:t>
      </w:r>
      <w:r>
        <w:rPr>
          <w:rFonts w:ascii="Times New Roman" w:cs="Times New Roman" w:eastAsia="Times New Roman" w:hAnsi="Times New Roman"/>
          <w:sz w:val="15"/>
          <w:szCs w:val="15"/>
          <w:color w:val="auto"/>
        </w:rPr>
        <w:t xml:space="preserve"> and (ii) the Disclosure Time. Each Purchaser, severally and not jointly with the other Purchasers, covenants that until the earlier of</w:t>
      </w:r>
    </w:p>
    <w:p>
      <w:pPr>
        <w:spacing w:after="0" w:line="2" w:lineRule="exact"/>
        <w:rPr>
          <w:sz w:val="20"/>
          <w:szCs w:val="20"/>
          <w:color w:val="auto"/>
        </w:rPr>
      </w:pPr>
    </w:p>
    <w:p>
      <w:pPr>
        <w:ind w:left="204" w:hanging="204"/>
        <w:spacing w:after="0"/>
        <w:tabs>
          <w:tab w:leader="none" w:pos="204"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such time as the transactions contemplated by this Agreement are publicly disclosed by the Company pursuant to the initial press release as described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w:t>
      </w:r>
    </w:p>
    <w:p>
      <w:pPr>
        <w:spacing w:after="0" w:line="7" w:lineRule="exact"/>
        <w:rPr>
          <w:rFonts w:ascii="Times New Roman" w:cs="Times New Roman" w:eastAsia="Times New Roman" w:hAnsi="Times New Roman"/>
          <w:sz w:val="16"/>
          <w:szCs w:val="16"/>
          <w:color w:val="auto"/>
        </w:rPr>
      </w:pPr>
    </w:p>
    <w:p>
      <w:pPr>
        <w:jc w:val="both"/>
        <w:ind w:left="4" w:hanging="4"/>
        <w:spacing w:after="0" w:line="250" w:lineRule="auto"/>
        <w:tabs>
          <w:tab w:leader="none" w:pos="243"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Disclosure Time, such Purchaser will maintain the confidentiality of the existence and terms of this transaction, other than to other Persons party to this Agreement and to such Persons’ representatives, including their respective lawyers.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is the earlier of (x) the transactions contemplated by this Agreement are first publicly announced pursuant to the initial press release as described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(y) the Disclosure Time, (ii) no Purchaser shall be restricted or prohibited from effecting any transactions in any securities of the Company in accordance with applicable securities laws from and after the earlier of (x) the time that the transactions contemplated by this Agreement are first publicly announced pursuant to the initial press release as described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(y) the Disclosure Time and (iii) no Purchaser shall have any duty of confidentiality or duty not to trade in the securities of the Company to the Company after the earlier of (x) the issuance of the initial press release as described in </w:t>
      </w:r>
      <w:r>
        <w:rPr>
          <w:rFonts w:ascii="Times New Roman" w:cs="Times New Roman" w:eastAsia="Times New Roman" w:hAnsi="Times New Roman"/>
          <w:sz w:val="16"/>
          <w:szCs w:val="16"/>
          <w:u w:val="single" w:color="auto"/>
          <w:color w:val="auto"/>
        </w:rPr>
        <w:t>Section 5.3</w:t>
      </w:r>
      <w:r>
        <w:rPr>
          <w:rFonts w:ascii="Times New Roman" w:cs="Times New Roman" w:eastAsia="Times New Roman" w:hAnsi="Times New Roman"/>
          <w:sz w:val="16"/>
          <w:szCs w:val="16"/>
          <w:color w:val="auto"/>
        </w:rPr>
        <w:t xml:space="preserve"> and (y) the Disclosure Time.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67"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color w:val="auto"/>
        </w:rPr>
        <w:t xml:space="preserve">5.9. </w:t>
      </w:r>
      <w:r>
        <w:rPr>
          <w:rFonts w:ascii="Times New Roman" w:cs="Times New Roman" w:eastAsia="Times New Roman" w:hAnsi="Times New Roman"/>
          <w:sz w:val="16"/>
          <w:szCs w:val="16"/>
          <w:i w:val="1"/>
          <w:iCs w:val="1"/>
          <w:color w:val="auto"/>
        </w:rPr>
        <w:t>Restrictive Securities Legend</w:t>
      </w:r>
      <w:r>
        <w:rPr>
          <w:rFonts w:ascii="Times New Roman" w:cs="Times New Roman" w:eastAsia="Times New Roman" w:hAnsi="Times New Roman"/>
          <w:sz w:val="16"/>
          <w:szCs w:val="16"/>
          <w:color w:val="auto"/>
        </w:rPr>
        <w:t>. Upon original issuance thereof, and until such time as the same is no longer required under the applicable requirements of the Securities Act, the Shares shall bear the following legend:</w:t>
      </w:r>
    </w:p>
    <w:p>
      <w:pPr>
        <w:spacing w:after="0" w:line="142" w:lineRule="exact"/>
        <w:rPr>
          <w:sz w:val="20"/>
          <w:szCs w:val="20"/>
          <w:color w:val="auto"/>
        </w:rPr>
      </w:pPr>
    </w:p>
    <w:p>
      <w:pPr>
        <w:jc w:val="both"/>
        <w:ind w:left="4" w:firstLine="287"/>
        <w:spacing w:after="0" w:line="254" w:lineRule="auto"/>
        <w:rPr>
          <w:sz w:val="20"/>
          <w:szCs w:val="20"/>
          <w:color w:val="auto"/>
        </w:rPr>
      </w:pPr>
      <w:r>
        <w:rPr>
          <w:rFonts w:ascii="Times New Roman" w:cs="Times New Roman" w:eastAsia="Times New Roman" w:hAnsi="Times New Roman"/>
          <w:sz w:val="16"/>
          <w:szCs w:val="16"/>
          <w:color w:val="auto"/>
        </w:rPr>
        <w:t>“THE SECURITIES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THE COMPANY SHALL BE ENTITLED TO REQUIRE AN OPINION OF COUNSEL REASONABLY SATISFACTORY TO THE COMPANY THAT SUCH REGISTRATION PURSUANT TO THE SECURITIES ACT OF 1933, AS AMENDED IS NOT REQUIRED TO THE EXTENT THAT SUCH OPINION IS REQUIRED PURSUANT TO THAT CERTAIN SECURITIES PURCHASE AGREEMENT UNDER WHICH THE SHARES WERE ISSUED.”</w:t>
      </w:r>
    </w:p>
    <w:p>
      <w:pPr>
        <w:spacing w:after="0" w:line="167" w:lineRule="exact"/>
        <w:rPr>
          <w:sz w:val="20"/>
          <w:szCs w:val="20"/>
          <w:color w:val="auto"/>
        </w:rPr>
      </w:pPr>
    </w:p>
    <w:p>
      <w:pPr>
        <w:jc w:val="both"/>
        <w:ind w:left="564" w:hanging="278"/>
        <w:spacing w:after="0" w:line="251" w:lineRule="auto"/>
        <w:tabs>
          <w:tab w:leader="none" w:pos="564"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Certificates evidencing the Securities, shall not contain any legend (including the legend set forth in Section 5.9 hereof), (i) while a registration statement covering the resale of such security is effective under the Securities Act, (ii) following any sale of such ADSs or pursuant to Rule 144 , (iii) if such ADSs are eligible for sale under Rule 144, without the requirement for the Company to be in compliance with the current public information required under Rule 144 as to such ADSs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Depositary (in a form reasonable acceptable to the Depositary) and/or the registrar or the Purchaser in a timely manner after the effective date of the Resale Registration Statement if required by the Depositary and/or the registrar to effect to removal of the legend hereunder, or if requested by a Purchaser, respectively. The Company agrees that following such time as such legend is no longer required under this Section 5.9(a), it will, no later than the earlier of (i) five (5) trading days and (ii) the number of trading days comprising the Standard Settlement Period (as defined below) following the delivery by a Purchaser to the Company of a certificate representing Shares, as the case may be, issued with a restrictive legend (such date, the “</w:t>
      </w:r>
      <w:r>
        <w:rPr>
          <w:rFonts w:ascii="Times New Roman" w:cs="Times New Roman" w:eastAsia="Times New Roman" w:hAnsi="Times New Roman"/>
          <w:sz w:val="16"/>
          <w:szCs w:val="16"/>
          <w:u w:val="single" w:color="auto"/>
          <w:color w:val="auto"/>
        </w:rPr>
        <w:t>Legend Removal Date</w:t>
      </w:r>
      <w:r>
        <w:rPr>
          <w:rFonts w:ascii="Times New Roman" w:cs="Times New Roman" w:eastAsia="Times New Roman" w:hAnsi="Times New Roman"/>
          <w:sz w:val="16"/>
          <w:szCs w:val="16"/>
          <w:color w:val="auto"/>
        </w:rPr>
        <w:t>”), cause to be delivered to such Purchaser a certificate representing the applicable number of ADSs representing such Shares that is free from all restrictive and other legends. ADSs shall be transmitted by the Depositary to the Purchaser by crediting the account of the Purchaser’s prime broker with the Depository Trust Company System as directed by such Purchaser to the Company. The Company shall cooperate with each Purchaser and the Depository in exchanging such Purchaser’s Shares for ADSs. As used herein, “</w:t>
      </w:r>
      <w:r>
        <w:rPr>
          <w:rFonts w:ascii="Times New Roman" w:cs="Times New Roman" w:eastAsia="Times New Roman" w:hAnsi="Times New Roman"/>
          <w:sz w:val="16"/>
          <w:szCs w:val="16"/>
          <w:u w:val="single" w:color="auto"/>
          <w:color w:val="auto"/>
        </w:rPr>
        <w:t>Standard Settlement Period</w:t>
      </w:r>
      <w:r>
        <w:rPr>
          <w:rFonts w:ascii="Times New Roman" w:cs="Times New Roman" w:eastAsia="Times New Roman" w:hAnsi="Times New Roman"/>
          <w:sz w:val="16"/>
          <w:szCs w:val="16"/>
          <w:color w:val="auto"/>
        </w:rPr>
        <w:t>” means the standard settlement period, expressed in a number of Trading Days, on the Company’s primary Trading Market with respect to the ADSs as in effect on the date of delivery of a certificate representing Shares, as the case may be, issued with a restrictive legend. The Company shall be responsible for any Depositary fees or DTC fees with respect to any issuance of Securities or the removal of any legends with respect to any Securities in accordance herewith.</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8" w:name="page29"/>
    <w:bookmarkEnd w:id="28"/>
    <w:p>
      <w:pPr>
        <w:jc w:val="both"/>
        <w:ind w:left="4" w:right="20"/>
        <w:spacing w:after="0" w:line="260" w:lineRule="auto"/>
        <w:rPr>
          <w:sz w:val="20"/>
          <w:szCs w:val="20"/>
          <w:color w:val="auto"/>
        </w:rPr>
      </w:pPr>
      <w:r>
        <w:rPr>
          <w:rFonts w:ascii="Times New Roman" w:cs="Times New Roman" w:eastAsia="Times New Roman" w:hAnsi="Times New Roman"/>
          <w:sz w:val="16"/>
          <w:szCs w:val="16"/>
          <w:color w:val="auto"/>
        </w:rPr>
        <w:t xml:space="preserve">5.10. </w:t>
      </w:r>
      <w:r>
        <w:rPr>
          <w:rFonts w:ascii="Times New Roman" w:cs="Times New Roman" w:eastAsia="Times New Roman" w:hAnsi="Times New Roman"/>
          <w:sz w:val="16"/>
          <w:szCs w:val="16"/>
          <w:i w:val="1"/>
          <w:iCs w:val="1"/>
          <w:color w:val="auto"/>
        </w:rPr>
        <w:t>Equal Treatment of Purchasers</w:t>
      </w:r>
      <w:r>
        <w:rPr>
          <w:rFonts w:ascii="Times New Roman" w:cs="Times New Roman" w:eastAsia="Times New Roman" w:hAnsi="Times New Roman"/>
          <w:sz w:val="16"/>
          <w:szCs w:val="16"/>
          <w:color w:val="auto"/>
        </w:rPr>
        <w:t>. No consideration shall be offered or paid to any Purchaser to amend or consent to a waiver or modification of any provision of this Agreement unless the same consideration is also offered to all of the Purchasers. For clarification purposes, this provision constitutes a separate right granted to each Purchaser by the Company and negotiated separately by each Purchaser and shall not in any way be construed as the Purchasers acting in concert or as a group with respect to the purchase, disposition or voting of shares of Ordinary Share or otherwise.</w:t>
      </w:r>
    </w:p>
    <w:p>
      <w:pPr>
        <w:spacing w:after="0" w:line="159" w:lineRule="exact"/>
        <w:rPr>
          <w:sz w:val="20"/>
          <w:szCs w:val="20"/>
          <w:color w:val="auto"/>
        </w:rPr>
      </w:pPr>
    </w:p>
    <w:p>
      <w:pPr>
        <w:jc w:val="both"/>
        <w:ind w:left="4"/>
        <w:spacing w:after="0" w:line="199" w:lineRule="exact"/>
        <w:rPr>
          <w:sz w:val="20"/>
          <w:szCs w:val="20"/>
          <w:color w:val="auto"/>
        </w:rPr>
      </w:pPr>
      <w:r>
        <w:rPr>
          <w:rFonts w:ascii="Times New Roman" w:cs="Times New Roman" w:eastAsia="Times New Roman" w:hAnsi="Times New Roman"/>
          <w:sz w:val="16"/>
          <w:szCs w:val="16"/>
          <w:color w:val="auto"/>
        </w:rPr>
        <w:t xml:space="preserve">5.11. </w:t>
      </w:r>
      <w:r>
        <w:rPr>
          <w:rFonts w:ascii="Times New Roman" w:cs="Times New Roman" w:eastAsia="Times New Roman" w:hAnsi="Times New Roman"/>
          <w:sz w:val="16"/>
          <w:szCs w:val="16"/>
          <w:i w:val="1"/>
          <w:iCs w:val="1"/>
          <w:color w:val="auto"/>
        </w:rPr>
        <w:t>CSRC Filing</w:t>
      </w:r>
      <w:r>
        <w:rPr>
          <w:rFonts w:ascii="Times New Roman" w:cs="Times New Roman" w:eastAsia="Times New Roman" w:hAnsi="Times New Roman"/>
          <w:sz w:val="16"/>
          <w:szCs w:val="16"/>
          <w:color w:val="auto"/>
        </w:rPr>
        <w:t>. Following the Closing, the Company shall prepare and submit the filing report in relation to the transactions contemplated by this Agreement (the “</w:t>
      </w:r>
      <w:r>
        <w:rPr>
          <w:rFonts w:ascii="Times New Roman" w:cs="Times New Roman" w:eastAsia="Times New Roman" w:hAnsi="Times New Roman"/>
          <w:sz w:val="16"/>
          <w:szCs w:val="16"/>
          <w:b w:val="1"/>
          <w:bCs w:val="1"/>
          <w:color w:val="auto"/>
        </w:rPr>
        <w:t>CSRC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Filing Report</w:t>
      </w:r>
      <w:r>
        <w:rPr>
          <w:rFonts w:ascii="Times New Roman" w:cs="Times New Roman" w:eastAsia="Times New Roman" w:hAnsi="Times New Roman"/>
          <w:sz w:val="16"/>
          <w:szCs w:val="16"/>
          <w:color w:val="auto"/>
        </w:rPr>
        <w:t>”) and any relevant supporting materials (including, but not limited to, the PRC legal opinion to be issued by the counsel for the Company on the PRC laws,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where applicable) (together with the CSRC Filing Report and including any amendments, supplements and/or modifications thereof, the “</w:t>
      </w:r>
      <w:r>
        <w:rPr>
          <w:rFonts w:ascii="Times New Roman" w:cs="Times New Roman" w:eastAsia="Times New Roman" w:hAnsi="Times New Roman"/>
          <w:sz w:val="16"/>
          <w:szCs w:val="16"/>
          <w:b w:val="1"/>
          <w:bCs w:val="1"/>
          <w:color w:val="auto"/>
        </w:rPr>
        <w:t>CSRC Filings</w:t>
      </w:r>
      <w:r>
        <w:rPr>
          <w:rFonts w:ascii="Times New Roman" w:cs="Times New Roman" w:eastAsia="Times New Roman" w:hAnsi="Times New Roman"/>
          <w:sz w:val="16"/>
          <w:szCs w:val="16"/>
          <w:color w:val="auto"/>
        </w:rPr>
        <w:t>”) to the China Securities Regulatory Commission (the “</w:t>
      </w:r>
      <w:r>
        <w:rPr>
          <w:rFonts w:ascii="Times New Roman" w:cs="Times New Roman" w:eastAsia="Times New Roman" w:hAnsi="Times New Roman"/>
          <w:sz w:val="16"/>
          <w:szCs w:val="16"/>
          <w:b w:val="1"/>
          <w:bCs w:val="1"/>
          <w:color w:val="auto"/>
        </w:rPr>
        <w:t>CSRC</w:t>
      </w:r>
      <w:r>
        <w:rPr>
          <w:rFonts w:ascii="Times New Roman" w:cs="Times New Roman" w:eastAsia="Times New Roman" w:hAnsi="Times New Roman"/>
          <w:sz w:val="16"/>
          <w:szCs w:val="16"/>
          <w:color w:val="auto"/>
        </w:rPr>
        <w:t>”) pursuant to the applicable requirements under the Trial Administrative Measures of Overseas Securities Offering and Listing by Domestic Companies (</w:t>
      </w:r>
      <w:r>
        <w:rPr>
          <w:rFonts w:ascii="SimSun" w:cs="SimSun" w:eastAsia="SimSun" w:hAnsi="SimSun"/>
          <w:sz w:val="16"/>
          <w:szCs w:val="16"/>
          <w:color w:val="auto"/>
        </w:rPr>
        <w:t>境内企业境外发行证券和上市管理试行办法</w:t>
      </w:r>
      <w:r>
        <w:rPr>
          <w:rFonts w:ascii="Times New Roman" w:cs="Times New Roman" w:eastAsia="Times New Roman" w:hAnsi="Times New Roman"/>
          <w:sz w:val="16"/>
          <w:szCs w:val="16"/>
          <w:color w:val="auto"/>
        </w:rPr>
        <w:t>) and supporting guidelines issued by the CSRC on 17 February 2023 (as amended, supplemented or otherwise modified from time to time), and bear any costs, penalties or administrative liabilities arising from any failure to timely complete the CSRC Filing.</w:t>
      </w:r>
    </w:p>
    <w:p>
      <w:pPr>
        <w:spacing w:after="0" w:line="1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80"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16"/>
          <w:szCs w:val="16"/>
          <w:i w:val="1"/>
          <w:iCs w:val="1"/>
          <w:color w:val="auto"/>
        </w:rPr>
        <w:t>Termination</w:t>
      </w:r>
      <w:r>
        <w:rPr>
          <w:rFonts w:ascii="Times New Roman" w:cs="Times New Roman" w:eastAsia="Times New Roman" w:hAnsi="Times New Roman"/>
          <w:sz w:val="16"/>
          <w:szCs w:val="16"/>
          <w:color w:val="auto"/>
        </w:rPr>
        <w:t xml:space="preserve">. This Agreement may be terminated (i) by mutual written agreement of a Purchaser and the Company only as to such Purchaser’s obligations hereunder, (ii) (x) by any Purchaser, as to such Purchaser’s obligations hereunder only and without any effect whatsoever on the obligations between the Company and the other Purchasers, by written notice to the Company, or (y) by written notice to each other, if the Closing has not been consummated on or before April 30, 2026;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no such termination will affect the right of any party to sue for any breach by any other party (or parties).</w:t>
      </w:r>
    </w:p>
    <w:p>
      <w:pPr>
        <w:spacing w:after="0" w:line="159" w:lineRule="exact"/>
        <w:rPr>
          <w:sz w:val="20"/>
          <w:szCs w:val="20"/>
          <w:color w:val="auto"/>
        </w:rPr>
      </w:pPr>
    </w:p>
    <w:p>
      <w:pPr>
        <w:jc w:val="both"/>
        <w:ind w:left="4" w:right="20"/>
        <w:spacing w:after="0" w:line="256" w:lineRule="auto"/>
        <w:rPr>
          <w:sz w:val="20"/>
          <w:szCs w:val="20"/>
          <w:color w:val="auto"/>
        </w:rPr>
      </w:pPr>
      <w:r>
        <w:rPr>
          <w:rFonts w:ascii="Times New Roman" w:cs="Times New Roman" w:eastAsia="Times New Roman" w:hAnsi="Times New Roman"/>
          <w:sz w:val="16"/>
          <w:szCs w:val="16"/>
          <w:color w:val="auto"/>
        </w:rPr>
        <w:t xml:space="preserve">6.2. </w:t>
      </w:r>
      <w:r>
        <w:rPr>
          <w:rFonts w:ascii="Times New Roman" w:cs="Times New Roman" w:eastAsia="Times New Roman" w:hAnsi="Times New Roman"/>
          <w:sz w:val="16"/>
          <w:szCs w:val="16"/>
          <w:i w:val="1"/>
          <w:iCs w:val="1"/>
          <w:color w:val="auto"/>
        </w:rPr>
        <w:t>Fees and Expenses</w:t>
      </w:r>
      <w:r>
        <w:rPr>
          <w:rFonts w:ascii="Times New Roman" w:cs="Times New Roman" w:eastAsia="Times New Roman" w:hAnsi="Times New Roman"/>
          <w:sz w:val="16"/>
          <w:szCs w:val="16"/>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 The Company shall indemnify, pay and hold each Purchaser harmless against, any liability, loss or expense (including, without limitation, reasonable attorneys’ fees and out-of-pocket expenses) arising in connection with any such right, interest or claim.</w:t>
      </w:r>
    </w:p>
    <w:p>
      <w:pPr>
        <w:spacing w:after="0" w:line="16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6"/>
          <w:szCs w:val="16"/>
          <w:color w:val="auto"/>
        </w:rPr>
        <w:t xml:space="preserve">6.3. </w:t>
      </w:r>
      <w:r>
        <w:rPr>
          <w:rFonts w:ascii="Times New Roman" w:cs="Times New Roman" w:eastAsia="Times New Roman" w:hAnsi="Times New Roman"/>
          <w:sz w:val="16"/>
          <w:szCs w:val="16"/>
          <w:i w:val="1"/>
          <w:iCs w:val="1"/>
          <w:color w:val="auto"/>
        </w:rPr>
        <w:t>Entire Agreement</w:t>
      </w:r>
      <w:r>
        <w:rPr>
          <w:rFonts w:ascii="Times New Roman" w:cs="Times New Roman" w:eastAsia="Times New Roman" w:hAnsi="Times New Roman"/>
          <w:sz w:val="16"/>
          <w:szCs w:val="16"/>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53" w:lineRule="exact"/>
        <w:rPr>
          <w:sz w:val="20"/>
          <w:szCs w:val="20"/>
          <w:color w:val="auto"/>
        </w:rPr>
      </w:pPr>
    </w:p>
    <w:p>
      <w:pPr>
        <w:jc w:val="both"/>
        <w:ind w:left="4" w:right="20"/>
        <w:spacing w:after="0" w:line="257" w:lineRule="auto"/>
        <w:rPr>
          <w:sz w:val="20"/>
          <w:szCs w:val="20"/>
          <w:color w:val="auto"/>
        </w:rPr>
      </w:pPr>
      <w:r>
        <w:rPr>
          <w:rFonts w:ascii="Times New Roman" w:cs="Times New Roman" w:eastAsia="Times New Roman" w:hAnsi="Times New Roman"/>
          <w:sz w:val="16"/>
          <w:szCs w:val="16"/>
          <w:color w:val="auto"/>
        </w:rPr>
        <w:t xml:space="preserve">6.4. </w:t>
      </w:r>
      <w:r>
        <w:rPr>
          <w:rFonts w:ascii="Times New Roman" w:cs="Times New Roman" w:eastAsia="Times New Roman" w:hAnsi="Times New Roman"/>
          <w:sz w:val="16"/>
          <w:szCs w:val="16"/>
          <w:i w:val="1"/>
          <w:iCs w:val="1"/>
          <w:color w:val="auto"/>
        </w:rPr>
        <w:t>Notices</w:t>
      </w:r>
      <w:r>
        <w:rPr>
          <w:rFonts w:ascii="Times New Roman" w:cs="Times New Roman" w:eastAsia="Times New Roman" w:hAnsi="Times New Roman"/>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with no rejection or undeliverable notice received,</w:t>
      </w:r>
    </w:p>
    <w:p>
      <w:pPr>
        <w:spacing w:after="0" w:line="1" w:lineRule="exact"/>
        <w:rPr>
          <w:sz w:val="20"/>
          <w:szCs w:val="20"/>
          <w:color w:val="auto"/>
        </w:rPr>
      </w:pPr>
    </w:p>
    <w:p>
      <w:pPr>
        <w:jc w:val="both"/>
        <w:ind w:left="4" w:hanging="4"/>
        <w:spacing w:after="0" w:line="251" w:lineRule="auto"/>
        <w:tabs>
          <w:tab w:leader="none" w:pos="24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with no rejection or undeliverable notice received,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3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9" w:name="page30"/>
    <w:bookmarkEnd w:id="29"/>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6.5. </w:t>
      </w:r>
      <w:r>
        <w:rPr>
          <w:rFonts w:ascii="Times New Roman" w:cs="Times New Roman" w:eastAsia="Times New Roman" w:hAnsi="Times New Roman"/>
          <w:sz w:val="16"/>
          <w:szCs w:val="16"/>
          <w:i w:val="1"/>
          <w:iCs w:val="1"/>
          <w:color w:val="auto"/>
        </w:rPr>
        <w:t>Amendments; Waivers</w:t>
      </w:r>
      <w:r>
        <w:rPr>
          <w:rFonts w:ascii="Times New Roman" w:cs="Times New Roman" w:eastAsia="Times New Roman" w:hAnsi="Times New Roman"/>
          <w:sz w:val="16"/>
          <w:szCs w:val="16"/>
          <w:color w:val="auto"/>
        </w:rPr>
        <w:t>. No provision of this Agreement may be waived, modified, supplemented or amended except in a written instrument signed, in the case of an amendment, by the Company and each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No provision of this Agreement affecting the Placement Agents may be waived, modified, supplemented or amended except in a written instrument signed, in the case of an amendment by the Company and each Placement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6.6. </w:t>
      </w:r>
      <w:r>
        <w:rPr>
          <w:rFonts w:ascii="Times New Roman" w:cs="Times New Roman" w:eastAsia="Times New Roman" w:hAnsi="Times New Roman"/>
          <w:sz w:val="16"/>
          <w:szCs w:val="16"/>
          <w:i w:val="1"/>
          <w:iCs w:val="1"/>
          <w:color w:val="auto"/>
        </w:rPr>
        <w:t>Headings</w:t>
      </w:r>
      <w:r>
        <w:rPr>
          <w:rFonts w:ascii="Times New Roman" w:cs="Times New Roman" w:eastAsia="Times New Roman" w:hAnsi="Times New Roman"/>
          <w:sz w:val="16"/>
          <w:szCs w:val="16"/>
          <w:color w:val="auto"/>
        </w:rPr>
        <w:t>. The headings herein are for convenience only, do not constitute a part of this Agreement and shall not be deemed to limit or affect any of the provisions hereof.</w:t>
      </w:r>
    </w:p>
    <w:p>
      <w:pPr>
        <w:spacing w:after="0" w:line="198"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6.7. </w:t>
      </w:r>
      <w:r>
        <w:rPr>
          <w:rFonts w:ascii="Times New Roman" w:cs="Times New Roman" w:eastAsia="Times New Roman" w:hAnsi="Times New Roman"/>
          <w:sz w:val="16"/>
          <w:szCs w:val="16"/>
          <w:i w:val="1"/>
          <w:iCs w:val="1"/>
          <w:color w:val="auto"/>
        </w:rPr>
        <w:t>Successors and Assigns</w:t>
      </w:r>
      <w:r>
        <w:rPr>
          <w:rFonts w:ascii="Times New Roman" w:cs="Times New Roman" w:eastAsia="Times New Roman" w:hAnsi="Times New Roman"/>
          <w:sz w:val="16"/>
          <w:szCs w:val="16"/>
          <w:color w:val="auto"/>
        </w:rPr>
        <w:t>. This Agreement shall be binding upon and inure to the benefit of the parties and their successors and permitted assigns. The Company may not assign this Agreement or any rights or obligations hereunder without the prior written consent of the Purchasers purchasing a majority of the Shares in the Offering (other than by merger). Any Purchaser may assign any or all of its rights under this Agreement to any Affiliate and to any Person to whom such Purchaser assigns or transfers any Shares, provided that such transferee agrees in writing to be bound, with respect to the transferred Shares, by the provisions of the Transaction Documents that apply to the “</w:t>
      </w:r>
      <w:r>
        <w:rPr>
          <w:rFonts w:ascii="Times New Roman" w:cs="Times New Roman" w:eastAsia="Times New Roman" w:hAnsi="Times New Roman"/>
          <w:sz w:val="16"/>
          <w:szCs w:val="16"/>
          <w:b w:val="1"/>
          <w:bCs w:val="1"/>
          <w:color w:val="auto"/>
        </w:rPr>
        <w:t>Purchasers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 xml:space="preserve">6.8. </w:t>
      </w:r>
      <w:r>
        <w:rPr>
          <w:rFonts w:ascii="Times New Roman" w:cs="Times New Roman" w:eastAsia="Times New Roman" w:hAnsi="Times New Roman"/>
          <w:sz w:val="16"/>
          <w:szCs w:val="16"/>
          <w:i w:val="1"/>
          <w:iCs w:val="1"/>
          <w:color w:val="auto"/>
        </w:rPr>
        <w:t>Third-Party Beneficiaries</w:t>
      </w:r>
      <w:r>
        <w:rPr>
          <w:rFonts w:ascii="Times New Roman" w:cs="Times New Roman" w:eastAsia="Times New Roman" w:hAnsi="Times New Roman"/>
          <w:sz w:val="16"/>
          <w:szCs w:val="16"/>
          <w:color w:val="auto"/>
        </w:rPr>
        <w:t xml:space="preserve">. The Placement Agents shall be the third-party beneficiaries of the representations and warranties of the Company in </w:t>
      </w:r>
      <w:r>
        <w:rPr>
          <w:rFonts w:ascii="Times New Roman" w:cs="Times New Roman" w:eastAsia="Times New Roman" w:hAnsi="Times New Roman"/>
          <w:sz w:val="16"/>
          <w:szCs w:val="16"/>
          <w:u w:val="single" w:color="auto"/>
          <w:color w:val="auto"/>
        </w:rPr>
        <w:t>Section 3.1</w:t>
      </w:r>
      <w:r>
        <w:rPr>
          <w:rFonts w:ascii="Times New Roman" w:cs="Times New Roman" w:eastAsia="Times New Roman" w:hAnsi="Times New Roman"/>
          <w:sz w:val="16"/>
          <w:szCs w:val="16"/>
          <w:color w:val="auto"/>
        </w:rPr>
        <w:t xml:space="preserve"> and the representations and warranties of the Purchasers in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xml:space="preserve"> and this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6.9. </w:t>
      </w:r>
      <w:r>
        <w:rPr>
          <w:rFonts w:ascii="Times New Roman" w:cs="Times New Roman" w:eastAsia="Times New Roman" w:hAnsi="Times New Roman"/>
          <w:sz w:val="16"/>
          <w:szCs w:val="16"/>
          <w:i w:val="1"/>
          <w:iCs w:val="1"/>
          <w:color w:val="auto"/>
        </w:rPr>
        <w:t>Governing Law</w:t>
      </w:r>
      <w:r>
        <w:rPr>
          <w:rFonts w:ascii="Times New Roman" w:cs="Times New Roman" w:eastAsia="Times New Roman" w:hAnsi="Times New Roman"/>
          <w:sz w:val="16"/>
          <w:szCs w:val="16"/>
          <w:color w:val="auto"/>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Action or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cs="Times New Roman" w:eastAsia="Times New Roman" w:hAnsi="Times New Roman"/>
          <w:sz w:val="16"/>
          <w:szCs w:val="16"/>
          <w:u w:val="single" w:color="auto"/>
          <w:color w:val="auto"/>
        </w:rPr>
        <w:t>Section 4.4</w:t>
      </w:r>
      <w:r>
        <w:rPr>
          <w:rFonts w:ascii="Times New Roman" w:cs="Times New Roman" w:eastAsia="Times New Roman" w:hAnsi="Times New Roman"/>
          <w:sz w:val="16"/>
          <w:szCs w:val="16"/>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6.10. </w:t>
      </w:r>
      <w:r>
        <w:rPr>
          <w:rFonts w:ascii="Times New Roman" w:cs="Times New Roman" w:eastAsia="Times New Roman" w:hAnsi="Times New Roman"/>
          <w:sz w:val="16"/>
          <w:szCs w:val="16"/>
          <w:i w:val="1"/>
          <w:iCs w:val="1"/>
          <w:color w:val="auto"/>
        </w:rPr>
        <w:t>Survival</w:t>
      </w:r>
      <w:r>
        <w:rPr>
          <w:rFonts w:ascii="Times New Roman" w:cs="Times New Roman" w:eastAsia="Times New Roman" w:hAnsi="Times New Roman"/>
          <w:sz w:val="16"/>
          <w:szCs w:val="16"/>
          <w:color w:val="auto"/>
        </w:rPr>
        <w:t>. The representations and warranties contained herein shall survive the Closing and the delivery of the Shares.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6.11. </w:t>
      </w:r>
      <w:r>
        <w:rPr>
          <w:rFonts w:ascii="Times New Roman" w:cs="Times New Roman" w:eastAsia="Times New Roman" w:hAnsi="Times New Roman"/>
          <w:sz w:val="16"/>
          <w:szCs w:val="16"/>
          <w:i w:val="1"/>
          <w:iCs w:val="1"/>
          <w:color w:val="auto"/>
        </w:rPr>
        <w:t>Execution</w:t>
      </w:r>
      <w:r>
        <w:rPr>
          <w:rFonts w:ascii="Times New Roman" w:cs="Times New Roman" w:eastAsia="Times New Roman" w:hAnsi="Times New Roman"/>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electronic mail, or otherwise by electronic transmission (including any electronic signature complying with the U.S. federal ESIGN Act of 2000, e.g., www.docusign.com) evidencing an intent to sign this Agreement, such facsimile transmission, electronic mail or other electronic transmission shall create a valid and binding obligation of the undersigned with the same force and effect as if such signature were an original. Execution and delivery of this Agreement by facsimile transmission, electronic mail or other electronic transmission is legal, valid and binding for all purposes.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0" w:name="page31"/>
    <w:bookmarkEnd w:id="30"/>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6.12. </w:t>
      </w:r>
      <w:r>
        <w:rPr>
          <w:rFonts w:ascii="Times New Roman" w:cs="Times New Roman" w:eastAsia="Times New Roman" w:hAnsi="Times New Roman"/>
          <w:sz w:val="16"/>
          <w:szCs w:val="16"/>
          <w:i w:val="1"/>
          <w:iCs w:val="1"/>
          <w:color w:val="auto"/>
        </w:rPr>
        <w:t>Severability</w:t>
      </w:r>
      <w:r>
        <w:rPr>
          <w:rFonts w:ascii="Times New Roman" w:cs="Times New Roman" w:eastAsia="Times New Roman" w:hAnsi="Times New Roman"/>
          <w:sz w:val="16"/>
          <w:szCs w:val="16"/>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6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 xml:space="preserve">6.13. </w:t>
      </w:r>
      <w:r>
        <w:rPr>
          <w:rFonts w:ascii="Times New Roman" w:cs="Times New Roman" w:eastAsia="Times New Roman" w:hAnsi="Times New Roman"/>
          <w:sz w:val="16"/>
          <w:szCs w:val="16"/>
          <w:i w:val="1"/>
          <w:iCs w:val="1"/>
          <w:color w:val="auto"/>
        </w:rPr>
        <w:t>Replacement of Shares</w:t>
      </w:r>
      <w:r>
        <w:rPr>
          <w:rFonts w:ascii="Times New Roman" w:cs="Times New Roman" w:eastAsia="Times New Roman" w:hAnsi="Times New Roman"/>
          <w:sz w:val="16"/>
          <w:szCs w:val="16"/>
          <w:color w:val="auto"/>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15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 xml:space="preserve">6.14. </w:t>
      </w:r>
      <w:r>
        <w:rPr>
          <w:rFonts w:ascii="Times New Roman" w:cs="Times New Roman" w:eastAsia="Times New Roman" w:hAnsi="Times New Roman"/>
          <w:sz w:val="16"/>
          <w:szCs w:val="16"/>
          <w:i w:val="1"/>
          <w:iCs w:val="1"/>
          <w:color w:val="auto"/>
        </w:rPr>
        <w:t>Remedies</w:t>
      </w:r>
      <w:r>
        <w:rPr>
          <w:rFonts w:ascii="Times New Roman" w:cs="Times New Roman" w:eastAsia="Times New Roman" w:hAnsi="Times New Roman"/>
          <w:sz w:val="16"/>
          <w:szCs w:val="16"/>
          <w:color w:val="auto"/>
        </w:rPr>
        <w:t>. In addition to being entitled to exercise all rights provided herein or granted by law, including recovery of damages, each of the Purchasers and the Company will be entitled to seek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 xml:space="preserve">6.15. </w:t>
      </w:r>
      <w:r>
        <w:rPr>
          <w:rFonts w:ascii="Times New Roman" w:cs="Times New Roman" w:eastAsia="Times New Roman" w:hAnsi="Times New Roman"/>
          <w:sz w:val="16"/>
          <w:szCs w:val="16"/>
          <w:i w:val="1"/>
          <w:iCs w:val="1"/>
          <w:color w:val="auto"/>
        </w:rPr>
        <w:t>Payment Set Aside</w:t>
      </w:r>
      <w:r>
        <w:rPr>
          <w:rFonts w:ascii="Times New Roman" w:cs="Times New Roman" w:eastAsia="Times New Roman" w:hAnsi="Times New Roman"/>
          <w:sz w:val="16"/>
          <w:szCs w:val="16"/>
          <w:color w:val="auto"/>
        </w:rPr>
        <w:t>. To the extent that the Company makes a payment or payments to the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 xml:space="preserve">6.16. </w:t>
      </w:r>
      <w:r>
        <w:rPr>
          <w:rFonts w:ascii="Times New Roman" w:cs="Times New Roman" w:eastAsia="Times New Roman" w:hAnsi="Times New Roman"/>
          <w:sz w:val="16"/>
          <w:szCs w:val="16"/>
          <w:i w:val="1"/>
          <w:iCs w:val="1"/>
          <w:color w:val="auto"/>
        </w:rPr>
        <w:t>Independent Nature of Purchasers’ Obligations and Rights</w:t>
      </w:r>
      <w:r>
        <w:rPr>
          <w:rFonts w:ascii="Times New Roman" w:cs="Times New Roman" w:eastAsia="Times New Roman" w:hAnsi="Times New Roman"/>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Cooley. Cooley does not represent any of the Purchasers and only represents the Placement Agents. Other than as set forth herein,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1" w:name="page32"/>
    <w:bookmarkEnd w:id="31"/>
    <w:p>
      <w:pPr>
        <w:jc w:val="both"/>
        <w:ind w:right="20"/>
        <w:spacing w:after="0" w:line="283" w:lineRule="auto"/>
        <w:rPr>
          <w:sz w:val="20"/>
          <w:szCs w:val="20"/>
          <w:color w:val="auto"/>
        </w:rPr>
      </w:pPr>
      <w:r>
        <w:rPr>
          <w:rFonts w:ascii="Times New Roman" w:cs="Times New Roman" w:eastAsia="Times New Roman" w:hAnsi="Times New Roman"/>
          <w:sz w:val="16"/>
          <w:szCs w:val="16"/>
          <w:color w:val="auto"/>
        </w:rPr>
        <w:t xml:space="preserve">6.17. </w:t>
      </w:r>
      <w:r>
        <w:rPr>
          <w:rFonts w:ascii="Times New Roman" w:cs="Times New Roman" w:eastAsia="Times New Roman" w:hAnsi="Times New Roman"/>
          <w:sz w:val="16"/>
          <w:szCs w:val="16"/>
          <w:i w:val="1"/>
          <w:iCs w:val="1"/>
          <w:color w:val="auto"/>
        </w:rPr>
        <w:t>Saturdays, Sundays, Holidays, etc</w:t>
      </w:r>
      <w:r>
        <w:rPr>
          <w:rFonts w:ascii="Times New Roman" w:cs="Times New Roman" w:eastAsia="Times New Roman" w:hAnsi="Times New Roman"/>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 xml:space="preserve">6.18. </w:t>
      </w:r>
      <w:r>
        <w:rPr>
          <w:rFonts w:ascii="Times New Roman" w:cs="Times New Roman" w:eastAsia="Times New Roman" w:hAnsi="Times New Roman"/>
          <w:sz w:val="16"/>
          <w:szCs w:val="16"/>
          <w:i w:val="1"/>
          <w:iCs w:val="1"/>
          <w:color w:val="auto"/>
        </w:rPr>
        <w:t>Construction</w:t>
      </w:r>
      <w:r>
        <w:rPr>
          <w:rFonts w:ascii="Times New Roman" w:cs="Times New Roman" w:eastAsia="Times New Roman" w:hAnsi="Times New Roman"/>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Ordinary Share in any Transaction Document shall be subject to adjustment for reverse and forward stock splits, stock dividends, stock combinations and other similar transactions of the Ordinary Share that occur after the date of this Agreement.</w:t>
      </w:r>
    </w:p>
    <w:p>
      <w:pPr>
        <w:spacing w:after="0" w:line="1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6"/>
          <w:szCs w:val="16"/>
          <w:color w:val="auto"/>
        </w:rPr>
        <w:t xml:space="preserve">6.19. </w:t>
      </w:r>
      <w:r>
        <w:rPr>
          <w:rFonts w:ascii="Times New Roman" w:cs="Times New Roman" w:eastAsia="Times New Roman" w:hAnsi="Times New Roman"/>
          <w:sz w:val="16"/>
          <w:szCs w:val="16"/>
          <w:b w:val="1"/>
          <w:bCs w:val="1"/>
          <w:i w:val="1"/>
          <w:iCs w:val="1"/>
          <w:color w:val="auto"/>
        </w:rPr>
        <w:t>WAIVER OF JURY TRIAL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IN ANY ACTION, SUIT, OR PROCEEDING IN ANY JURISDICTION BROUGHT BY ANY PARTY AGAINST ANY OTHER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u w:val="single" w:color="auto"/>
          <w:color w:val="auto"/>
        </w:rPr>
        <w:t>PARTY, THE PARTIES EACH KNOWINGLY AND INTENTIONALLY, TO THE GREATEST EXTENT PERMITTED BY APPLICABLE LAW, HEREBY ABSOLUTELY, UNCONDITIONALLY, IRREVOCABLY AND EXPRESSLY WAIVES FOREVER TRIAL BY JURY</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6.20. </w:t>
      </w:r>
      <w:r>
        <w:rPr>
          <w:rFonts w:ascii="Times New Roman" w:cs="Times New Roman" w:eastAsia="Times New Roman" w:hAnsi="Times New Roman"/>
          <w:sz w:val="16"/>
          <w:szCs w:val="16"/>
          <w:i w:val="1"/>
          <w:iCs w:val="1"/>
          <w:color w:val="auto"/>
        </w:rPr>
        <w:t>Reliance by and Exculpation of Placement Agent</w:t>
      </w:r>
      <w:r>
        <w:rPr>
          <w:rFonts w:ascii="Times New Roman" w:cs="Times New Roman" w:eastAsia="Times New Roman" w:hAnsi="Times New Roman"/>
          <w:sz w:val="16"/>
          <w:szCs w:val="16"/>
          <w:color w:val="auto"/>
        </w:rPr>
        <w:t>s.</w:t>
      </w:r>
    </w:p>
    <w:p>
      <w:pPr>
        <w:spacing w:after="0" w:line="200" w:lineRule="exact"/>
        <w:rPr>
          <w:sz w:val="20"/>
          <w:szCs w:val="20"/>
          <w:color w:val="auto"/>
        </w:rPr>
      </w:pPr>
    </w:p>
    <w:p>
      <w:pPr>
        <w:jc w:val="both"/>
        <w:ind w:firstLine="282"/>
        <w:spacing w:after="0" w:line="252" w:lineRule="auto"/>
        <w:tabs>
          <w:tab w:leader="none" w:pos="50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Purchaser hereto agrees for the express benefit of the Placement Agents, their affiliates and their representatives that (i) the Placement Agents, their affiliates and their representatives have not made, and will not make any representations or warranties with respect to the Company or the offer and sale of the Shares, and such Purchaser will not rely on any statements made by the Placement Agents, orally or in writing, to the contrary, (ii) such Purchaser will be responsible for conducting its own due diligence investigation with respect to the Company and the offer and sale of the Shares, (iii) such Purchaser will be purchasing Shares based on the results of its own due diligence investigation of the Company and the Placement Agents and each of its directors, officers, employees, representatives, and controlling persons have made no independent investigation with respect to the Company, the Shares, or the accuracy, completeness, or adequacy of any information supplied to the Purchaser by the Company, (iv) such Purchaser has negotiated the offer and sale of the Shares directly with the Company, and the Placement Agents will not be responsible for the ultimate success of any such investment and (v) the decision to invest in the Company will involve a significant degree of risk, including a risk of total loss of such investment. Each Purchaser further represents and warrants to the Placement Agents that it, including any fund or funds that it manages or advises that participates in the offer and sale of the Shares, is permitted under its constitutive documents (including, without limitation, all limited partnership agreements, articles of associations,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6"/>
          <w:szCs w:val="16"/>
          <w:u w:val="single" w:color="auto"/>
          <w:color w:val="auto"/>
        </w:rPr>
        <w:t>Section 6.20</w:t>
      </w:r>
      <w:r>
        <w:rPr>
          <w:rFonts w:ascii="Times New Roman" w:cs="Times New Roman" w:eastAsia="Times New Roman" w:hAnsi="Times New Roman"/>
          <w:sz w:val="16"/>
          <w:szCs w:val="16"/>
          <w:color w:val="auto"/>
        </w:rPr>
        <w:t xml:space="preserve"> shall survive any termination of this Agreement.</w:t>
      </w:r>
    </w:p>
    <w:p>
      <w:pPr>
        <w:spacing w:after="0" w:line="167" w:lineRule="exact"/>
        <w:rPr>
          <w:rFonts w:ascii="Times New Roman" w:cs="Times New Roman" w:eastAsia="Times New Roman" w:hAnsi="Times New Roman"/>
          <w:sz w:val="16"/>
          <w:szCs w:val="16"/>
          <w:color w:val="auto"/>
        </w:rPr>
      </w:pPr>
    </w:p>
    <w:p>
      <w:pPr>
        <w:jc w:val="both"/>
        <w:ind w:firstLine="282"/>
        <w:spacing w:after="0" w:line="265" w:lineRule="auto"/>
        <w:tabs>
          <w:tab w:leader="none" w:pos="51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agrees and acknowledges that the Placement Agents may rely on its representations, warranties, agreements and covenants contained in this Agreement, and each Purchaser agrees that the Placement Agents may rely on such Purchaser’s representations and warranties contained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of this Agreement as if such representations and warranties, as applicable, were made directly to the Placement Agents.</w:t>
      </w:r>
    </w:p>
    <w:p>
      <w:pPr>
        <w:spacing w:after="0" w:line="155" w:lineRule="exact"/>
        <w:rPr>
          <w:rFonts w:ascii="Times New Roman" w:cs="Times New Roman" w:eastAsia="Times New Roman" w:hAnsi="Times New Roman"/>
          <w:sz w:val="16"/>
          <w:szCs w:val="16"/>
          <w:color w:val="auto"/>
        </w:rPr>
      </w:pPr>
    </w:p>
    <w:p>
      <w:pPr>
        <w:jc w:val="both"/>
        <w:ind w:firstLine="282"/>
        <w:spacing w:after="0" w:line="255" w:lineRule="auto"/>
        <w:tabs>
          <w:tab w:leader="none" w:pos="525"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Placement Agents nor any of their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this Agreement or in connection with any of the transactions contemplated therein, including any offering or marketing materials; or (3) shall be liable (x) for any action taken, suffered or omitted by any of them in good faith and reasonably believed to be authorized or within the discretion or rights or powers conferred upon it by this Agreement or (y) for anything which any of them may do or refrain from doing in connection with this Agreement, except in each case for such party’s own gross negligence, willful misconduct or bad faith.</w:t>
      </w:r>
    </w:p>
    <w:p>
      <w:pPr>
        <w:spacing w:after="0" w:line="165" w:lineRule="exact"/>
        <w:rPr>
          <w:rFonts w:ascii="Times New Roman" w:cs="Times New Roman" w:eastAsia="Times New Roman" w:hAnsi="Times New Roman"/>
          <w:sz w:val="16"/>
          <w:szCs w:val="16"/>
          <w:color w:val="auto"/>
        </w:rPr>
      </w:pPr>
    </w:p>
    <w:p>
      <w:pPr>
        <w:jc w:val="both"/>
        <w:ind w:right="20" w:firstLine="282"/>
        <w:spacing w:after="0" w:line="265" w:lineRule="auto"/>
        <w:tabs>
          <w:tab w:leader="none" w:pos="512"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agrees that the Placement Agents, their affiliates and representatives shall be entitled to (1) rely on, and shall be protected in acting upon, any certificate, instrument, opinion, notice, letter or any other document or security delivered to any of them by or on behalf of the Company, and (2) be indemnified by the Company for acting as a Placement Agent hereunder pursuant to the indemnification provisions set forth in the Engagement Letter.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2" w:name="page33"/>
    <w:bookmarkEnd w:id="32"/>
    <w:p>
      <w:pPr>
        <w:ind w:firstLine="287"/>
        <w:spacing w:after="0" w:line="280" w:lineRule="auto"/>
        <w:rPr>
          <w:sz w:val="20"/>
          <w:szCs w:val="20"/>
          <w:color w:val="auto"/>
        </w:rPr>
      </w:pPr>
      <w:r>
        <w:rPr>
          <w:rFonts w:ascii="Times New Roman" w:cs="Times New Roman" w:eastAsia="Times New Roman" w:hAnsi="Times New Roman"/>
          <w:sz w:val="16"/>
          <w:szCs w:val="16"/>
          <w:color w:val="auto"/>
        </w:rPr>
        <w:t>IN WITNESS WHEREOF, the parties hereto have caused this Securities Purchase Agreement to be duly executed by their respective authorized signatories as of the date first indicated above.</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ADLAI NORTYE LTD.</w:t>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7620</wp:posOffset>
            </wp:positionV>
            <wp:extent cx="264096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Name:</w:t>
      </w:r>
    </w:p>
    <w:p>
      <w:pPr>
        <w:spacing w:after="0" w:line="1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Title: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[REMAINDER OF PAGE INTENTIONALLY LEFT BLANK</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FOR PURCHASER FOLLOWS]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33" w:name="page34"/>
    <w:bookmarkEnd w:id="33"/>
    <w:p>
      <w:pPr>
        <w:ind w:firstLine="574"/>
        <w:spacing w:after="0" w:line="280" w:lineRule="auto"/>
        <w:rPr>
          <w:sz w:val="20"/>
          <w:szCs w:val="20"/>
          <w:color w:val="auto"/>
        </w:rPr>
      </w:pPr>
      <w:r>
        <w:rPr>
          <w:rFonts w:ascii="Times New Roman" w:cs="Times New Roman" w:eastAsia="Times New Roman" w:hAnsi="Times New Roman"/>
          <w:sz w:val="16"/>
          <w:szCs w:val="16"/>
          <w:color w:val="auto"/>
        </w:rPr>
        <w:t>IN WITNESS WHEREOF, the undersigned have caused this Securities Purchase Agreement to be duly executed by their respective authorized signatories as of the date first indicated 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Signature of Authorized Signatory of Purchaser</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Address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 where investment decision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Address for Delivery of Shares to Purchaser (if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same as 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-2540</wp:posOffset>
            </wp:positionV>
            <wp:extent cx="250380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15240</wp:posOffset>
            </wp:positionV>
            <wp:extent cx="250380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03805" cy="1524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PURCHASER SIGNATURE PAGE TO SECURITIES PURCHASE AGREEMENT</w:t>
      </w:r>
      <w:r>
        <w:rPr>
          <w:rFonts w:ascii="Times New Roman" w:cs="Times New Roman" w:eastAsia="Times New Roman" w:hAnsi="Times New Roman"/>
          <w:sz w:val="16"/>
          <w:szCs w:val="16"/>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ANNEX A</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LOCK-UP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 of Lock-up Agreement</w:t>
      </w:r>
    </w:p>
    <w:p>
      <w:pPr>
        <w:spacing w:after="0" w:line="3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April</w:t>
      </w:r>
      <w:r>
        <w:rPr>
          <w:sz w:val="20"/>
          <w:szCs w:val="20"/>
          <w:color w:val="auto"/>
        </w:rPr>
        <w:tab/>
      </w:r>
      <w:r>
        <w:rPr>
          <w:rFonts w:ascii="Times New Roman" w:cs="Times New Roman" w:eastAsia="Times New Roman" w:hAnsi="Times New Roman"/>
          <w:sz w:val="16"/>
          <w:szCs w:val="16"/>
          <w:color w:val="auto"/>
        </w:rPr>
        <w:t>,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[Placement Agent]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[Adress]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 Adlai Nortye Ltd.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Ladies &amp; Gentlemen:</w:t>
      </w:r>
    </w:p>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undersigned is an owner of ordinary shares, par value $0.0001 per share, of the Company (“</w:t>
      </w:r>
      <w:r>
        <w:rPr>
          <w:rFonts w:ascii="Times New Roman" w:cs="Times New Roman" w:eastAsia="Times New Roman" w:hAnsi="Times New Roman"/>
          <w:sz w:val="16"/>
          <w:szCs w:val="16"/>
          <w:b w:val="1"/>
          <w:bCs w:val="1"/>
          <w:color w:val="auto"/>
        </w:rPr>
        <w:t>Shares</w:t>
      </w:r>
      <w:r>
        <w:rPr>
          <w:rFonts w:ascii="Times New Roman" w:cs="Times New Roman" w:eastAsia="Times New Roman" w:hAnsi="Times New Roman"/>
          <w:sz w:val="16"/>
          <w:szCs w:val="16"/>
          <w:color w:val="auto"/>
        </w:rPr>
        <w:t>”) or of securities convertible into or exchangeable or exercisable for Shares. The Company proposes to conduct a private placement of securities of the Company (the “</w:t>
      </w:r>
      <w:r>
        <w:rPr>
          <w:rFonts w:ascii="Times New Roman" w:cs="Times New Roman" w:eastAsia="Times New Roman" w:hAnsi="Times New Roman"/>
          <w:sz w:val="16"/>
          <w:szCs w:val="16"/>
          <w:b w:val="1"/>
          <w:bCs w:val="1"/>
          <w:color w:val="auto"/>
        </w:rPr>
        <w:t>Private Placement</w:t>
      </w:r>
      <w:r>
        <w:rPr>
          <w:rFonts w:ascii="Times New Roman" w:cs="Times New Roman" w:eastAsia="Times New Roman" w:hAnsi="Times New Roman"/>
          <w:sz w:val="16"/>
          <w:szCs w:val="16"/>
          <w:color w:val="auto"/>
        </w:rPr>
        <w:t>”) for which [ ● ] will act as the placement agents (collectively, the “</w:t>
      </w:r>
      <w:r>
        <w:rPr>
          <w:rFonts w:ascii="Times New Roman" w:cs="Times New Roman" w:eastAsia="Times New Roman" w:hAnsi="Times New Roman"/>
          <w:sz w:val="16"/>
          <w:szCs w:val="16"/>
          <w:b w:val="1"/>
          <w:bCs w:val="1"/>
          <w:color w:val="auto"/>
        </w:rPr>
        <w:t>Placement Agents</w:t>
      </w:r>
      <w:r>
        <w:rPr>
          <w:rFonts w:ascii="Times New Roman" w:cs="Times New Roman" w:eastAsia="Times New Roman" w:hAnsi="Times New Roman"/>
          <w:sz w:val="16"/>
          <w:szCs w:val="16"/>
          <w:color w:val="auto"/>
        </w:rPr>
        <w:t>”). The undersigned recognizes that the Private Placement will benefit each of the Company and the undersigned. The undersigned acknowledges that the Placement Agents are relying on the representations and agreements of the undersigned contained in this letter agreement in conducting the Private Placement and other arrangements with the Company with respect to the Private Placement.</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Annex A sets forth definitions for capitalized terms used in this letter agreement that are not defined in the body of this letter agreement. Those definitions are a part of this letter agreement.</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consideration of the foregoing, and for other good and valuable consideration, the receipt and sufficiency of which are hereby acknowledged, the undersigned hereby agrees that, during the Lock-up Period, the undersigned will not (and, if the undersigned is a natural person, will cause any Family Member not to), without the prior written consent of the Placement Agents, which may withhold their consent in their sole discretion:</w:t>
      </w:r>
    </w:p>
    <w:p>
      <w:pPr>
        <w:spacing w:after="0" w:line="155" w:lineRule="exact"/>
        <w:rPr>
          <w:sz w:val="20"/>
          <w:szCs w:val="20"/>
          <w:color w:val="auto"/>
        </w:rPr>
      </w:pPr>
    </w:p>
    <w:p>
      <w:pPr>
        <w:ind w:left="1140" w:right="20" w:hanging="284"/>
        <w:spacing w:after="0" w:line="280" w:lineRule="auto"/>
        <w:tabs>
          <w:tab w:leader="none" w:pos="1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or Offer to Sell any Shares or Related Securities currently or hereafter owned either of record or beneficially (as defined in Rule 13d-3 under the Exchange Act) by the undersigned or such Family Member,</w:t>
      </w:r>
    </w:p>
    <w:p>
      <w:pPr>
        <w:spacing w:after="0" w:line="144"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any Swap,</w:t>
      </w:r>
    </w:p>
    <w:p>
      <w:pPr>
        <w:spacing w:after="0" w:line="198" w:lineRule="exact"/>
        <w:rPr>
          <w:rFonts w:ascii="Times New Roman" w:cs="Times New Roman" w:eastAsia="Times New Roman" w:hAnsi="Times New Roman"/>
          <w:sz w:val="16"/>
          <w:szCs w:val="16"/>
          <w:color w:val="auto"/>
        </w:rPr>
      </w:pPr>
    </w:p>
    <w:p>
      <w:pPr>
        <w:jc w:val="both"/>
        <w:ind w:left="1140" w:hanging="284"/>
        <w:spacing w:after="0" w:line="265" w:lineRule="auto"/>
        <w:tabs>
          <w:tab w:leader="none" w:pos="1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55"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publicly announce any intention to do any of the foregoing.</w:t>
      </w:r>
    </w:p>
    <w:p>
      <w:pPr>
        <w:spacing w:after="0" w:line="19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The foregoing will not apply to the offer and sale of the Shares, and the sale of the Shares pursuant to the Private Placement. In addition, the foregoing restrictions will not apply to the transfer of Shares or Related Securities:</w:t>
      </w:r>
    </w:p>
    <w:p>
      <w:pPr>
        <w:spacing w:after="0" w:line="142" w:lineRule="exact"/>
        <w:rPr>
          <w:sz w:val="20"/>
          <w:szCs w:val="20"/>
          <w:color w:val="auto"/>
        </w:rPr>
      </w:pPr>
    </w:p>
    <w:p>
      <w:pPr>
        <w:ind w:left="860" w:hanging="291"/>
        <w:spacing w:after="0"/>
        <w:tabs>
          <w:tab w:leader="none" w:pos="8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a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gift or gifts,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6" w:name="page37"/>
    <w:bookmarkEnd w:id="36"/>
    <w:p>
      <w:pPr>
        <w:ind w:left="860" w:hanging="291"/>
        <w:spacing w:after="0"/>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will or intestacy,</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trust or other entities formed for the direct or indirect benefit of the undersigned or a Family Member of the undersigned,</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Family Member,</w:t>
      </w:r>
    </w:p>
    <w:p>
      <w:pPr>
        <w:spacing w:after="0" w:line="198" w:lineRule="exact"/>
        <w:rPr>
          <w:rFonts w:ascii="Times New Roman" w:cs="Times New Roman" w:eastAsia="Times New Roman" w:hAnsi="Times New Roman"/>
          <w:sz w:val="16"/>
          <w:szCs w:val="16"/>
          <w:color w:val="auto"/>
        </w:rPr>
      </w:pPr>
    </w:p>
    <w:p>
      <w:pPr>
        <w:ind w:left="860" w:hanging="291"/>
        <w:spacing w:after="0"/>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trust, to a trustor, trustee or beneficiary of the trust or to the estate of a beneficiary of such trust,</w:t>
      </w:r>
    </w:p>
    <w:p>
      <w:pPr>
        <w:spacing w:after="0" w:line="198" w:lineRule="exact"/>
        <w:rPr>
          <w:rFonts w:ascii="Times New Roman" w:cs="Times New Roman" w:eastAsia="Times New Roman" w:hAnsi="Times New Roman"/>
          <w:sz w:val="16"/>
          <w:szCs w:val="16"/>
          <w:color w:val="auto"/>
        </w:rPr>
      </w:pPr>
    </w:p>
    <w:p>
      <w:pPr>
        <w:ind w:left="860" w:hanging="291"/>
        <w:spacing w:after="0" w:line="280"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corporation, partnership, limited liability company or other entity of which the undersigned or any Family Member is the legal and beneficial owner of all of the outstanding equity securities or similar interests,</w:t>
      </w:r>
    </w:p>
    <w:p>
      <w:pPr>
        <w:spacing w:after="0" w:line="144" w:lineRule="exact"/>
        <w:rPr>
          <w:rFonts w:ascii="Times New Roman" w:cs="Times New Roman" w:eastAsia="Times New Roman" w:hAnsi="Times New Roman"/>
          <w:sz w:val="16"/>
          <w:szCs w:val="16"/>
          <w:color w:val="auto"/>
        </w:rPr>
      </w:pPr>
    </w:p>
    <w:p>
      <w:pPr>
        <w:jc w:val="both"/>
        <w:ind w:left="860" w:right="20" w:hanging="291"/>
        <w:spacing w:after="0" w:line="255"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the undersigned (including, for the avoidance of doubt, any wholly-owned direct or indirect subsidiary of the undersigned or to the immediate or indirect parent entity of the undersigned), or to any investment fund or other entity controlling, controlled by, managing or managed by or under common control with the undersigned (including, for the avoidance of doubt, where the undersigned is a partnership, to its general partner or a successor partnership or fund, or any other funds managed by such partnership), or (B) as part of a distribution, transfer or other disposition by the undersigned to its stockholders, partners, members or other equity holders,</w:t>
      </w:r>
    </w:p>
    <w:p>
      <w:pPr>
        <w:spacing w:after="0" w:line="165" w:lineRule="exact"/>
        <w:rPr>
          <w:rFonts w:ascii="Times New Roman" w:cs="Times New Roman" w:eastAsia="Times New Roman" w:hAnsi="Times New Roman"/>
          <w:sz w:val="16"/>
          <w:szCs w:val="16"/>
          <w:color w:val="auto"/>
        </w:rPr>
      </w:pPr>
    </w:p>
    <w:p>
      <w:pPr>
        <w:ind w:left="860" w:right="20" w:hanging="291"/>
        <w:spacing w:after="0" w:line="280"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operation of law pursuant to a court order or settlement agreement related to the distribution of assets in connection with the dissolution of a marriage or civil union, provided that such Shares or Related Securities shall remain subject to the terms of this letter agreement,</w:t>
      </w:r>
    </w:p>
    <w:p>
      <w:pPr>
        <w:spacing w:after="0" w:line="144" w:lineRule="exact"/>
        <w:rPr>
          <w:rFonts w:ascii="Times New Roman" w:cs="Times New Roman" w:eastAsia="Times New Roman" w:hAnsi="Times New Roman"/>
          <w:sz w:val="16"/>
          <w:szCs w:val="16"/>
          <w:color w:val="auto"/>
        </w:rPr>
      </w:pPr>
    </w:p>
    <w:p>
      <w:pPr>
        <w:jc w:val="both"/>
        <w:ind w:left="860" w:right="20" w:hanging="291"/>
        <w:spacing w:after="0" w:line="265"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exercise or settlement on a cash basis of options granted under a stock incentive plan or other equity award plan, which plan is described in the Company’s filings with the SEC, provided that any Shares or Related Securities received as a result of such exercise, vesting or settlement shall remain subject to the terms of this letter agreement,</w:t>
      </w:r>
    </w:p>
    <w:p>
      <w:pPr>
        <w:spacing w:after="0" w:line="155" w:lineRule="exact"/>
        <w:rPr>
          <w:rFonts w:ascii="Times New Roman" w:cs="Times New Roman" w:eastAsia="Times New Roman" w:hAnsi="Times New Roman"/>
          <w:sz w:val="16"/>
          <w:szCs w:val="16"/>
          <w:color w:val="auto"/>
        </w:rPr>
      </w:pPr>
    </w:p>
    <w:p>
      <w:pPr>
        <w:jc w:val="both"/>
        <w:ind w:left="860" w:hanging="291"/>
        <w:spacing w:after="0" w:line="259"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Company in connection with the “net” or “cashless” exercise of options or other rights to purchase Shares or Related Securities from the Company (including any transfer to the Company for the payment of tax withholdings or remittance payments due as a result of such exercise), which options or rights are described in the Company’s filings with the SEC, provided that any Shares or Related Securities received as a result of such exercise, vesting or settlement shall remain subject to the terms of this letter agreement, and</w:t>
      </w:r>
    </w:p>
    <w:p>
      <w:pPr>
        <w:spacing w:after="0" w:line="161" w:lineRule="exact"/>
        <w:rPr>
          <w:rFonts w:ascii="Times New Roman" w:cs="Times New Roman" w:eastAsia="Times New Roman" w:hAnsi="Times New Roman"/>
          <w:sz w:val="16"/>
          <w:szCs w:val="16"/>
          <w:color w:val="auto"/>
        </w:rPr>
      </w:pPr>
    </w:p>
    <w:p>
      <w:pPr>
        <w:jc w:val="both"/>
        <w:ind w:left="860" w:right="20" w:hanging="291"/>
        <w:spacing w:after="0" w:line="259" w:lineRule="auto"/>
        <w:tabs>
          <w:tab w:leader="none" w:pos="8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bona fide third-party tender offer, merger, consolidation or other similar transaction that is approved by the Board of Directors of the Company and made to all holders of the Company’s capital stock involving a Change of Control of the Company, provided that in the event that such tender offer, merger, consolidation or other similar transaction is not completed, the undersigned’s Shares and Related Securities shall remain subject to the provisions of this letter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in any such case, it shall be a condition to such transfer that:</w:t>
      </w:r>
    </w:p>
    <w:p>
      <w:pPr>
        <w:spacing w:after="0" w:line="200" w:lineRule="exact"/>
        <w:rPr>
          <w:sz w:val="20"/>
          <w:szCs w:val="20"/>
          <w:color w:val="auto"/>
        </w:rPr>
      </w:pPr>
    </w:p>
    <w:p>
      <w:pPr>
        <w:ind w:left="1140" w:right="20" w:hanging="284"/>
        <w:spacing w:after="0" w:line="280" w:lineRule="auto"/>
        <w:tabs>
          <w:tab w:leader="none" w:pos="1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transfer pursuant to clauses (i) through (viii) above, each transferee executes and delivers to the Placement Agents a lock-up letter in the form of this letter agreement,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7" w:name="page38"/>
    <w:bookmarkEnd w:id="37"/>
    <w:p>
      <w:pPr>
        <w:ind w:left="1140" w:right="20" w:hanging="284"/>
        <w:spacing w:after="0" w:line="280" w:lineRule="auto"/>
        <w:tabs>
          <w:tab w:leader="none" w:pos="1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transfer pursuant to clauses (i) through (vii) above, no public disclosure or filing shall be required, or made voluntarily, during the Lock-up Period reporting a reduction in beneficial ownership of Shares in connection with such transfer,</w:t>
      </w:r>
    </w:p>
    <w:p>
      <w:pPr>
        <w:spacing w:after="0" w:line="144" w:lineRule="exact"/>
        <w:rPr>
          <w:rFonts w:ascii="Times New Roman" w:cs="Times New Roman" w:eastAsia="Times New Roman" w:hAnsi="Times New Roman"/>
          <w:sz w:val="16"/>
          <w:szCs w:val="16"/>
          <w:color w:val="auto"/>
        </w:rPr>
      </w:pPr>
    </w:p>
    <w:p>
      <w:pPr>
        <w:jc w:val="both"/>
        <w:ind w:left="1140" w:right="20" w:hanging="284"/>
        <w:spacing w:after="0" w:line="259" w:lineRule="auto"/>
        <w:tabs>
          <w:tab w:leader="none" w:pos="1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transfer pursuant to clauses (vii), (ix) and (x) above, no public disclosure or filing reporting a change in beneficial ownership of Shares or Related Securities shall be made voluntarily during the Lock-up Period, and if the undersigned is required to file a report under Section 16 of the Exchange Act reporting a change in beneficial ownership of Shares or Related Securities during the Lock-up Period, the undersigned shall include a statement in such report to the effect that such transfer relates to the circumstances described in clause (vii), (ix) or (x), as applicable, and</w:t>
      </w:r>
    </w:p>
    <w:p>
      <w:pPr>
        <w:spacing w:after="0" w:line="161" w:lineRule="exact"/>
        <w:rPr>
          <w:rFonts w:ascii="Times New Roman" w:cs="Times New Roman" w:eastAsia="Times New Roman" w:hAnsi="Times New Roman"/>
          <w:sz w:val="16"/>
          <w:szCs w:val="16"/>
          <w:color w:val="auto"/>
        </w:rPr>
      </w:pPr>
    </w:p>
    <w:p>
      <w:pPr>
        <w:ind w:left="1140" w:hanging="284"/>
        <w:spacing w:after="0"/>
        <w:tabs>
          <w:tab w:leader="none" w:pos="11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any transfer pursuant to clauses (i) through (vii) above, such transfer shall not involve a disposition for value.</w:t>
      </w:r>
    </w:p>
    <w:p>
      <w:pPr>
        <w:spacing w:after="0" w:line="19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Furthermore, notwithstanding the restrictions imposed by this letter agreement, the undersigned may establish a trading plan pursuant to Rule 10b5-1 under the Exchange Act for the transfer of Shares or Related Securities, provided that such plan does not provide for any transfers of Shares or Related Securities during the Lock-up Period and the entry into such plan is not publicly disclosed, including in any filing under the Exchange Act, during the Lock-up Period.</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Moreover, notwithstanding the restrictions imposed by this letter agreement, the undersigned may demand for, or exercise any right with respect to, the registration under the Securities Act of the offer and sale of any Shares or Related Securities held by the undersigned, or cause to be filed a registration statement, prospectus or prospectus supplement (or an amendment or supplement thereto) with respect to any such registration; provided, that (i) the Resale Registration Statement (as defined below) shall have first been filed and declared effective by the SEC and (ii) no Shares or Related Securities shall be sold under any such registration during the Lock-up Period.</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undersigned also agrees and consents to the entry of stop transfer instructions with the Company’s transfer agent and registrar against the transfer of Shares or Related Securities held by the undersigned and, if the undersigned is a natural person, the undersigned’s Family Members, if any, except in compliance with the foregoing restrictions.</w:t>
      </w:r>
    </w:p>
    <w:p>
      <w:pPr>
        <w:spacing w:after="0" w:line="1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With respect to the registration statement that is contemplated to be filed with the SEC by the Company to register the resale of the Shares to be sold in the Private Placement (the “</w:t>
      </w:r>
      <w:r>
        <w:rPr>
          <w:rFonts w:ascii="Times New Roman" w:cs="Times New Roman" w:eastAsia="Times New Roman" w:hAnsi="Times New Roman"/>
          <w:sz w:val="16"/>
          <w:szCs w:val="16"/>
          <w:b w:val="1"/>
          <w:bCs w:val="1"/>
          <w:color w:val="auto"/>
        </w:rPr>
        <w:t>Resale Registration Statement</w:t>
      </w:r>
      <w:r>
        <w:rPr>
          <w:rFonts w:ascii="Times New Roman" w:cs="Times New Roman" w:eastAsia="Times New Roman" w:hAnsi="Times New Roman"/>
          <w:sz w:val="16"/>
          <w:szCs w:val="16"/>
          <w:color w:val="auto"/>
        </w:rPr>
        <w:t>”), the undersigned waives any registration rights relating to registration under the Securities Act of the offer and sale of any Shares and/or any Related Securities owned either of record or beneficially by the undersigned, including any rights to receive notice of the Private Placement or the Resale Registration Statement.</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8" w:name="page39"/>
    <w:bookmarkEnd w:id="38"/>
    <w:p>
      <w:pPr>
        <w:jc w:val="both"/>
        <w:spacing w:after="0" w:line="257" w:lineRule="auto"/>
        <w:rPr>
          <w:sz w:val="20"/>
          <w:szCs w:val="20"/>
          <w:color w:val="auto"/>
        </w:rPr>
      </w:pPr>
      <w:r>
        <w:rPr>
          <w:rFonts w:ascii="Times New Roman" w:cs="Times New Roman" w:eastAsia="Times New Roman" w:hAnsi="Times New Roman"/>
          <w:sz w:val="16"/>
          <w:szCs w:val="16"/>
          <w:color w:val="auto"/>
        </w:rPr>
        <w:t>The undersigned acknowledges and agrees that the Placement Agents have not provided any recommendation or investment advice nor have the Placement Agents solicited any action from the undersigned with respect to the Private Placement and the undersigned has consulted their own legal, accounting, financial, regulatory and tax advisors to the extent deemed appropriate. The undersigned further acknowledges and agrees that, although the Placement Agents may be required or choose to provide certain Regulation Best Interest and Form CRS disclosures to the undersigned in connection with the Private Placement, the Placement Agents are not making a recommendation to the undersigned to enter into this letter agreement and nothing set forth in such disclosures is intended to suggest that the Placement Agents are making such a recommendation.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Whether or not the Private Placement occurs as currently contemplated or at all depends on market conditions and other factors. The Private Placement will only be made pursuant to the Stock Purchase Agreement. Notwithstanding anything to the contrary contained herein, this letter agreement will automatically terminate and the undersigned shall be released from all obligations under this letter agreement upon the earliest to occur, if any, of (i) the Company advising the Placement Agents in writing prior to the Private Placement that it has determined not to proceed with the Private Placement or (ii) April 30, 2026, in the event the Private Placement has not been conducted by such date.</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 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letter agreement shall be governed by, and construed in accordance with, the laws of the State of New York.</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9" w:name="page40"/>
    <w:bookmarkEnd w:id="39"/>
    <w:p>
      <w:pPr>
        <w:ind w:left="564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250190</wp:posOffset>
            </wp:positionV>
            <wp:extent cx="285305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 xml:space="preserve">Name of Security Holder </w:t>
      </w:r>
      <w:r>
        <w:rPr>
          <w:rFonts w:ascii="Times New Roman" w:cs="Times New Roman" w:eastAsia="Times New Roman" w:hAnsi="Times New Roman"/>
          <w:sz w:val="16"/>
          <w:szCs w:val="16"/>
          <w:i w:val="1"/>
          <w:iCs w:val="1"/>
          <w:color w:val="auto"/>
        </w:rPr>
        <w:t>(Print exact name</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15240</wp:posOffset>
            </wp:positionV>
            <wp:extent cx="264096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6"/>
          <w:szCs w:val="16"/>
          <w:color w:val="auto"/>
        </w:rPr>
        <w:t>Signature</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If not signing in an individual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250190</wp:posOffset>
            </wp:positionV>
            <wp:extent cx="285305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 xml:space="preserve">Name of Authorized Signatory </w:t>
      </w:r>
      <w:r>
        <w:rPr>
          <w:rFonts w:ascii="Times New Roman" w:cs="Times New Roman" w:eastAsia="Times New Roman" w:hAnsi="Times New Roman"/>
          <w:sz w:val="16"/>
          <w:szCs w:val="16"/>
          <w:i w:val="1"/>
          <w:iCs w:val="1"/>
          <w:color w:val="auto"/>
        </w:rPr>
        <w:t>(Print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251460</wp:posOffset>
            </wp:positionV>
            <wp:extent cx="285305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 xml:space="preserve">Title of Authorized Signatory </w:t>
      </w:r>
      <w:r>
        <w:rPr>
          <w:rFonts w:ascii="Times New Roman" w:cs="Times New Roman" w:eastAsia="Times New Roman" w:hAnsi="Times New Roman"/>
          <w:sz w:val="16"/>
          <w:szCs w:val="16"/>
          <w:i w:val="1"/>
          <w:iCs w:val="1"/>
          <w:color w:val="auto"/>
        </w:rPr>
        <w:t>(Print</w:t>
      </w:r>
      <w:r>
        <w:rPr>
          <w:rFonts w:ascii="Times New Roman" w:cs="Times New Roman" w:eastAsia="Times New Roman" w:hAnsi="Times New Roman"/>
          <w:sz w:val="16"/>
          <w:szCs w:val="16"/>
          <w:color w:val="auto"/>
        </w:rPr>
        <w:t>)</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(indicate capacity of person signing if signing as custodian, trustee,</w:t>
      </w:r>
    </w:p>
    <w:p>
      <w:pPr>
        <w:spacing w:after="0" w:line="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i w:val="1"/>
          <w:iCs w:val="1"/>
          <w:color w:val="auto"/>
        </w:rPr>
        <w:t>or on behalf of an entity)</w:t>
      </w:r>
    </w:p>
    <w:p>
      <w:pPr>
        <w:spacing w:after="0" w:line="37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1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Certain Defined Terms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Used in Lock-up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purposes of the letter agreement to which this Annex A is attached and of which it is made a part:</w:t>
      </w:r>
    </w:p>
    <w:p>
      <w:pPr>
        <w:spacing w:after="0" w:line="196" w:lineRule="exact"/>
        <w:rPr>
          <w:sz w:val="20"/>
          <w:szCs w:val="20"/>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Call Equivalent Position</w:t>
      </w:r>
      <w:r>
        <w:rPr>
          <w:rFonts w:ascii="Times New Roman" w:cs="Times New Roman" w:eastAsia="Times New Roman" w:hAnsi="Times New Roman"/>
          <w:sz w:val="16"/>
          <w:szCs w:val="16"/>
          <w:color w:val="auto"/>
        </w:rPr>
        <w:t>” shall have the meaning set forth in Rule 16a-1(b) under the Exchange Act.</w:t>
      </w:r>
    </w:p>
    <w:p>
      <w:pPr>
        <w:spacing w:after="0" w:line="198" w:lineRule="exact"/>
        <w:rPr>
          <w:rFonts w:ascii="Times New Roman" w:cs="Times New Roman" w:eastAsia="Times New Roman" w:hAnsi="Times New Roman"/>
          <w:sz w:val="16"/>
          <w:szCs w:val="16"/>
          <w:color w:val="auto"/>
        </w:rPr>
      </w:pPr>
    </w:p>
    <w:p>
      <w:pPr>
        <w:jc w:val="both"/>
        <w:ind w:left="560" w:hanging="278"/>
        <w:spacing w:after="0" w:line="260"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Change of Control</w:t>
      </w:r>
      <w:r>
        <w:rPr>
          <w:rFonts w:ascii="Times New Roman" w:cs="Times New Roman" w:eastAsia="Times New Roman" w:hAnsi="Times New Roman"/>
          <w:sz w:val="16"/>
          <w:szCs w:val="16"/>
          <w:color w:val="auto"/>
        </w:rPr>
        <w:t>” means the consummation of any bona fide third party tender offer, merger, consolidation or other similar transaction following the completion of the Private Placement and approved by the Board of Directors of the Company, the result of which is that any “person” (as defined in Section 13(d)(3) of the Exchange Act), or group of persons, other than the Company or its subsidiaries, becomes the beneficial owner (as defined in Rules 13d-3 and 13d-5 of the Exchange Act) of more than 50% of the total voting power of the voting stock of the Company.</w:t>
      </w:r>
    </w:p>
    <w:p>
      <w:pPr>
        <w:spacing w:after="0" w:line="15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Exchange Act</w:t>
      </w:r>
      <w:r>
        <w:rPr>
          <w:rFonts w:ascii="Times New Roman" w:cs="Times New Roman" w:eastAsia="Times New Roman" w:hAnsi="Times New Roman"/>
          <w:sz w:val="16"/>
          <w:szCs w:val="16"/>
          <w:color w:val="auto"/>
        </w:rPr>
        <w:t>” shall mean the Securities Exchange Act of 1934, as amended.</w:t>
      </w:r>
    </w:p>
    <w:p>
      <w:pPr>
        <w:spacing w:after="0" w:line="198" w:lineRule="exact"/>
        <w:rPr>
          <w:rFonts w:ascii="Times New Roman" w:cs="Times New Roman" w:eastAsia="Times New Roman" w:hAnsi="Times New Roman"/>
          <w:sz w:val="16"/>
          <w:szCs w:val="16"/>
          <w:color w:val="auto"/>
        </w:rPr>
      </w:pPr>
    </w:p>
    <w:p>
      <w:pPr>
        <w:jc w:val="both"/>
        <w:ind w:left="560" w:right="20" w:hanging="278"/>
        <w:spacing w:after="0" w:line="260"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Family Member</w:t>
      </w:r>
      <w:r>
        <w:rPr>
          <w:rFonts w:ascii="Times New Roman" w:cs="Times New Roman" w:eastAsia="Times New Roman" w:hAnsi="Times New Roman"/>
          <w:sz w:val="16"/>
          <w:szCs w:val="16"/>
          <w:color w:val="auto"/>
        </w:rPr>
        <w:t>” shall mean the spouse of the undersigned, an immediate family member of the undersigned or an immediate family member of the undersigned’s spouse, in each case living in the undersigned’s household or whose principal residence is the undersigned’s household (regardless of whether such spouse or family member may at the time be living elsewhere due to educational activities, health care treatment, military service, temporary internship or employment or otherwise). “</w:t>
      </w:r>
      <w:r>
        <w:rPr>
          <w:rFonts w:ascii="Times New Roman" w:cs="Times New Roman" w:eastAsia="Times New Roman" w:hAnsi="Times New Roman"/>
          <w:sz w:val="16"/>
          <w:szCs w:val="16"/>
          <w:b w:val="1"/>
          <w:bCs w:val="1"/>
          <w:color w:val="auto"/>
        </w:rPr>
        <w:t>Immediate family member</w:t>
      </w:r>
      <w:r>
        <w:rPr>
          <w:rFonts w:ascii="Times New Roman" w:cs="Times New Roman" w:eastAsia="Times New Roman" w:hAnsi="Times New Roman"/>
          <w:sz w:val="16"/>
          <w:szCs w:val="16"/>
          <w:color w:val="auto"/>
        </w:rPr>
        <w:t>” as used above shall have the meaning set forth in Rule 16a-1(e) under the Exchange Act.</w:t>
      </w:r>
    </w:p>
    <w:p>
      <w:pPr>
        <w:spacing w:after="0" w:line="158" w:lineRule="exact"/>
        <w:rPr>
          <w:rFonts w:ascii="Times New Roman" w:cs="Times New Roman" w:eastAsia="Times New Roman" w:hAnsi="Times New Roman"/>
          <w:sz w:val="16"/>
          <w:szCs w:val="16"/>
          <w:color w:val="auto"/>
        </w:rPr>
      </w:pPr>
    </w:p>
    <w:p>
      <w:pPr>
        <w:ind w:left="560" w:hanging="278"/>
        <w:spacing w:after="0" w:line="283"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Lock-up Period</w:t>
      </w:r>
      <w:r>
        <w:rPr>
          <w:rFonts w:ascii="Times New Roman" w:cs="Times New Roman" w:eastAsia="Times New Roman" w:hAnsi="Times New Roman"/>
          <w:sz w:val="16"/>
          <w:szCs w:val="16"/>
          <w:color w:val="auto"/>
        </w:rPr>
        <w:t>” shall mean the period beginning on the date hereof and continuing through the close of trading on the date that is 90 days after the effective date of the Stock Purchase Agreement in connection with the Private Placement.</w:t>
      </w:r>
    </w:p>
    <w:p>
      <w:pPr>
        <w:spacing w:after="0" w:line="139"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Put Equivalent Position</w:t>
      </w:r>
      <w:r>
        <w:rPr>
          <w:rFonts w:ascii="Times New Roman" w:cs="Times New Roman" w:eastAsia="Times New Roman" w:hAnsi="Times New Roman"/>
          <w:sz w:val="16"/>
          <w:szCs w:val="16"/>
          <w:color w:val="auto"/>
        </w:rPr>
        <w:t>” shall have the meaning set forth in Rule 16a-1(h) under the Exchange Act.</w:t>
      </w:r>
    </w:p>
    <w:p>
      <w:pPr>
        <w:spacing w:after="0" w:line="198" w:lineRule="exact"/>
        <w:rPr>
          <w:rFonts w:ascii="Times New Roman" w:cs="Times New Roman" w:eastAsia="Times New Roman" w:hAnsi="Times New Roman"/>
          <w:sz w:val="16"/>
          <w:szCs w:val="16"/>
          <w:color w:val="auto"/>
        </w:rPr>
      </w:pPr>
    </w:p>
    <w:p>
      <w:pPr>
        <w:ind w:left="560" w:hanging="278"/>
        <w:spacing w:after="0" w:line="283" w:lineRule="auto"/>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Related Securities</w:t>
      </w:r>
      <w:r>
        <w:rPr>
          <w:rFonts w:ascii="Times New Roman" w:cs="Times New Roman" w:eastAsia="Times New Roman" w:hAnsi="Times New Roman"/>
          <w:sz w:val="16"/>
          <w:szCs w:val="16"/>
          <w:color w:val="auto"/>
        </w:rPr>
        <w:t>” shall mean any options or warrants or other rights to acquire Shares or any securities exchangeable or exercisable for or convertible into Shares, or to acquire other securities or rights ultimately exchangeable or exercisable for or convertible into Shares.</w:t>
      </w:r>
    </w:p>
    <w:p>
      <w:pPr>
        <w:spacing w:after="0" w:line="139"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Securities Act</w:t>
      </w:r>
      <w:r>
        <w:rPr>
          <w:rFonts w:ascii="Times New Roman" w:cs="Times New Roman" w:eastAsia="Times New Roman" w:hAnsi="Times New Roman"/>
          <w:sz w:val="16"/>
          <w:szCs w:val="16"/>
          <w:color w:val="auto"/>
        </w:rPr>
        <w:t>” shall mean the Securities Act of 1933, as amended.</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Stock Purchase Agreement</w:t>
      </w:r>
      <w:r>
        <w:rPr>
          <w:rFonts w:ascii="Times New Roman" w:cs="Times New Roman" w:eastAsia="Times New Roman" w:hAnsi="Times New Roman"/>
          <w:sz w:val="16"/>
          <w:szCs w:val="16"/>
          <w:color w:val="auto"/>
        </w:rPr>
        <w:t>” shall mean the definitive securities purchase agreement entered into in connection with the Private Placement.</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Sell or Offer to Sell</w:t>
      </w:r>
      <w:r>
        <w:rPr>
          <w:rFonts w:ascii="Times New Roman" w:cs="Times New Roman" w:eastAsia="Times New Roman" w:hAnsi="Times New Roman"/>
          <w:sz w:val="16"/>
          <w:szCs w:val="16"/>
          <w:color w:val="auto"/>
        </w:rPr>
        <w:t>” shall mean to:</w:t>
      </w:r>
    </w:p>
    <w:p>
      <w:pPr>
        <w:spacing w:after="0" w:line="200"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sell, offer to sell, contract to sell or lend,</w:t>
      </w:r>
    </w:p>
    <w:p>
      <w:pPr>
        <w:spacing w:after="0" w:line="198"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effect any short sale or establish or increase a Put Equivalent Position or liquidate or decrease any Call Equivalent Position</w:t>
      </w:r>
    </w:p>
    <w:p>
      <w:pPr>
        <w:spacing w:after="0" w:line="198"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pledge, hypothecate or grant any security interest in, or</w:t>
      </w:r>
    </w:p>
    <w:p>
      <w:pPr>
        <w:spacing w:after="0" w:line="198"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 any other way transfer or dispose of,</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in each case whether effected directly or indirectly.</w:t>
      </w:r>
    </w:p>
    <w:p>
      <w:pPr>
        <w:spacing w:after="0" w:line="196" w:lineRule="exact"/>
        <w:rPr>
          <w:sz w:val="20"/>
          <w:szCs w:val="20"/>
          <w:color w:val="auto"/>
        </w:rPr>
      </w:pPr>
    </w:p>
    <w:p>
      <w:pPr>
        <w:ind w:left="560" w:right="20" w:hanging="278"/>
        <w:spacing w:after="0" w:line="283" w:lineRule="auto"/>
        <w:tabs>
          <w:tab w:leader="none" w:pos="56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Swap</w:t>
      </w:r>
      <w:r>
        <w:rPr>
          <w:rFonts w:ascii="Times New Roman" w:cs="Times New Roman" w:eastAsia="Times New Roman" w:hAnsi="Times New Roman"/>
          <w:sz w:val="16"/>
          <w:szCs w:val="16"/>
          <w:color w:val="auto"/>
        </w:rPr>
        <w:t>” shall mean any swap, hedge or similar arrangement or agreement that transfers, in whole or in part, the economic risk of ownership of Shares or Related Securities, regardless of whether any such transaction is to be settled in securities, in cash or otherwise.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Capitalized terms not defined in this Annex A shall have the meanings given to them in the body of this lock-up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Adlai Nortye Announces $150.0 Million Private Placement Equity Financing</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SINGAPORE and NORTH BRUNSWICK, N.J., April 16, 2026 (GLOBE NEWSWIRE) -- Adlai Nortye Ltd. (Nasdaq: ANL) (the “Company” or “Adlai Nortye”), a clinical-stage biotechnology company focused on the development of innovative cancer therapies, today announced that it has entered into a securities purchase agreement for a private investment in public equity financing that is expected to result in gross proceeds of approximately $150.0 million, before deducting placement agent fees and other private placement expenses.</w:t>
      </w:r>
    </w:p>
    <w:p>
      <w:pPr>
        <w:spacing w:after="0" w:line="16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6"/>
          <w:szCs w:val="16"/>
          <w:color w:val="auto"/>
        </w:rPr>
        <w:t>The oversubscribed transaction includes participation from both new and existing institutional investors. New investors include Soleus Capital, Perceptive Advisors, ADAR1 Capital Management, MPM BioImpact, Octagon Capital, Eventide Asset Management and Kalehua Capital, ,DAFNA Capital Management, etc.with additional participation from existing investors including Cormorant Asset Management, Columbia Threadneedle Investments, Balyasny Asset Management, Casdin Capital, Squadron Capital Management and Superstring Capital Management, etc.</w:t>
      </w:r>
    </w:p>
    <w:p>
      <w:pPr>
        <w:spacing w:after="0" w:line="16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In the private placement, the Company is selling 11,320,755 ADSs, at a price of $13.25 per ADS, which equals the closing price of the Company’s ADSs on the Nasdaq Global Market on April 15, 2026. The private placement is expected to close on April 17, 2026, subject to the satisfaction of customary closing conditions.</w:t>
      </w:r>
    </w:p>
    <w:p>
      <w:pPr>
        <w:spacing w:after="0" w:line="14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6"/>
          <w:szCs w:val="16"/>
          <w:color w:val="auto"/>
        </w:rPr>
        <w:t>Carsten Lu, Chairman and Chief Executive Officer of Adlai Nortye, said, “We are delighted to have brought together this group of high-quality healthcare investors to support Adlai Nortye and our innovative, potentially best-in-class RAS-targeting therapies. We thank our investors for their confidence in the broad potential of our RAS-targeting</w:t>
      </w:r>
    </w:p>
    <w:p>
      <w:pPr>
        <w:jc w:val="both"/>
        <w:ind w:right="20"/>
        <w:spacing w:after="0" w:line="207" w:lineRule="auto"/>
        <w:rPr>
          <w:sz w:val="20"/>
          <w:szCs w:val="20"/>
          <w:color w:val="auto"/>
        </w:rPr>
      </w:pPr>
      <w:r>
        <w:rPr>
          <w:rFonts w:ascii="Times New Roman" w:cs="Times New Roman" w:eastAsia="Times New Roman" w:hAnsi="Times New Roman"/>
          <w:sz w:val="16"/>
          <w:szCs w:val="16"/>
          <w:color w:val="auto"/>
        </w:rPr>
        <w:t>pipeline and our next-generation ADC payload platform, RASiCA</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6"/>
          <w:szCs w:val="16"/>
          <w:color w:val="auto"/>
        </w:rPr>
        <w:t>, as well as their commitment to our mission to transform deadly cancer into a chronic and eventually curable disease.”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Leerink Partners, Cantor, Lucid Capital Markets, H.C. Wainwright &amp; Co. and Jones are acting as joint placement agents for the private placement.</w:t>
      </w:r>
    </w:p>
    <w:p>
      <w:pPr>
        <w:spacing w:after="0" w:line="19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securities being issued and sold in this private placement have not been registered under the Securities Act of 1933, as amended, or applicable state securities laws, and may not be offered or sold in the United States except pursuant to an effective registration statement or an applicable exemption from the registration requirements. Adlai Nortye has agreed to file a registration statement with the Securities and Exchange Commission registering the resale of the ADSs issued in the private placement.</w:t>
      </w:r>
    </w:p>
    <w:p>
      <w:pPr>
        <w:spacing w:after="0" w:line="155"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5"/>
          <w:szCs w:val="15"/>
          <w:color w:val="auto"/>
        </w:rPr>
        <w:t>This press release shall not constitute an offer to sell or the solicitation of an offer to buy any securities described herein, nor shall there be any sale of these securities in any state or jurisdiction in which such offer, solicitation or sale would be unlawful prior to the registration or qualification under the securities laws of any such state or jurisdiction.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Adlai Nortye</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Adlai Nortye (Nasdaq: ANL) is a global clinical-stage company at the forefront of discovering and developing innovative cancer therapies. Leveraging its dual R&amp;D presence in the United States and China, Adlai Nortye is building a robust pipeline of drug candidates focused on two key areas where it believes it can make a significant difference. (1) RAS-targeting therapies: Adlai Nortye is tackling RAS-driven cancers with AN9025, an oral pan-RAS(ON) inhibitor, and AN4035, a CEACAM5-targeting ADC delivering a potent pan-RAS(ON) inhibitor directly to the tumor. (2) Next-generation cancer immunotherapies: Adlai Nortye’s drug candidates, AN8025 (a tri-functional fusion protein of αPD-L1 x CD86 variant x LAG3 variant), a T-cell and antigen-presenting cell modulator, and AN4005 (a first-in-class oral small-molecule PD-L1 inhibitor), are designed to activate cancer immunity in novel ways.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Section 27A of the Securities Act of 1933, as amended, and Section 21E of the Securities Exchange Act of 1934, as amended.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All statements other than statements of historical facts contained in this press release are forward-looking statements. These forward-looking statements include, but are not limited to, statements about: the expected closing date of the private placement; cash operating runway; and the intended use of proceeds. These and other risks are described in greater detail under the section titled “Risk Factors” contained in the company’s Annual Report on Form 20-F and earnings release on Form 6-K and the Company’s other filings with the SEC. Any forward-looking statements that the Company makes in this press release are made pursuant to the Private Securities Litigation Reform Act of 1995, as amended, and speak only as of the date of this press release. Except as required by law, the company undertakes no obligation to publicly update any forward-looking statements, whether as a result of new information, future events or otherwise.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Relations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Email: ir@adlainortye.com</w:t>
      </w:r>
    </w:p>
    <w:p>
      <w:pPr>
        <w:sectPr>
          <w:pgSz w:w="11900" w:h="16838" w:orient="portrait"/>
          <w:cols w:equalWidth="0" w:num="1">
            <w:col w:w="11260"/>
          </w:cols>
          <w:pgMar w:left="320" w:top="121" w:right="319" w:bottom="1440" w:gutter="0" w:footer="0" w:header="0"/>
        </w:sectPr>
      </w:pPr>
    </w:p>
    <w:bookmarkStart w:id="42" w:name="page43"/>
    <w:bookmarkEnd w:id="4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Letter"/>
      <w:start w:val="1"/>
    </w:lvl>
    <w:lvl w:ilvl="1">
      <w:lvlJc w:val="left"/>
      <w:lvlText w:val="(%2)"/>
      <w:numFmt w:val="lowerRoman"/>
      <w:start w:val="1"/>
    </w:lvl>
  </w:abstractNum>
  <w:abstractNum w:abstractNumId="1">
    <w:nsid w:val="75A2A8D4"/>
    <w:multiLevelType w:val="hybridMultilevel"/>
    <w:lvl w:ilvl="0">
      <w:lvlJc w:val="left"/>
      <w:lvlText w:val="%1"/>
      <w:numFmt w:val="lowerLetter"/>
      <w:start w:val="1"/>
    </w:lvl>
    <w:lvl w:ilvl="1">
      <w:lvlJc w:val="left"/>
      <w:lvlText w:val="(%2)"/>
      <w:numFmt w:val="lowerRoman"/>
      <w:start w:val="3"/>
    </w:lvl>
  </w:abstractNum>
  <w:abstractNum w:abstractNumId="2">
    <w:nsid w:val="8EDBDAB"/>
    <w:multiLevelType w:val="hybridMultilevel"/>
    <w:lvl w:ilvl="0">
      <w:lvlJc w:val="left"/>
      <w:lvlText w:val="(%1)"/>
      <w:numFmt w:val="lowerLetter"/>
      <w:start w:val="2"/>
    </w:lvl>
    <w:lvl w:ilvl="1">
      <w:lvlJc w:val="left"/>
      <w:lvlText w:val="(%2)"/>
      <w:numFmt w:val="lowerRoman"/>
      <w:start w:val="1"/>
    </w:lvl>
  </w:abstractNum>
  <w:abstractNum w:abstractNumId="3">
    <w:nsid w:val="79838CB2"/>
    <w:multiLevelType w:val="hybridMultilevel"/>
    <w:lvl w:ilvl="0">
      <w:lvlJc w:val="left"/>
      <w:lvlText w:val="(%1)"/>
      <w:numFmt w:val="lowerLetter"/>
      <w:start w:val="1"/>
    </w:lvl>
    <w:lvl w:ilvl="1">
      <w:lvlJc w:val="left"/>
      <w:lvlText w:val="(%2)"/>
      <w:numFmt w:val="lowerRoman"/>
      <w:start w:val="1"/>
    </w:lvl>
  </w:abstractNum>
  <w:abstractNum w:abstractNumId="4">
    <w:nsid w:val="4353D0CD"/>
    <w:multiLevelType w:val="hybridMultilevel"/>
    <w:lvl w:ilvl="0">
      <w:lvlJc w:val="left"/>
      <w:lvlText w:val="(%1)"/>
      <w:numFmt w:val="lowerLetter"/>
      <w:start w:val="2"/>
    </w:lvl>
    <w:lvl w:ilvl="1">
      <w:lvlJc w:val="left"/>
      <w:lvlText w:val="(%2)"/>
      <w:numFmt w:val="lowerRoman"/>
      <w:start w:val="1"/>
    </w:lvl>
  </w:abstractNum>
  <w:abstractNum w:abstractNumId="5">
    <w:nsid w:val="B03E0C6"/>
    <w:multiLevelType w:val="hybridMultilevel"/>
    <w:lvl w:ilvl="0">
      <w:lvlJc w:val="left"/>
      <w:lvlText w:val="(%1)"/>
      <w:numFmt w:val="lowerLetter"/>
      <w:start w:val="1"/>
    </w:lvl>
    <w:lvl w:ilvl="1">
      <w:lvlJc w:val="left"/>
      <w:lvlText w:val="(%2)"/>
      <w:numFmt w:val="lowerLetter"/>
      <w:start w:val="5"/>
    </w:lvl>
  </w:abstractNum>
  <w:abstractNum w:abstractNumId="6">
    <w:nsid w:val="189A769B"/>
    <w:multiLevelType w:val="hybridMultilevel"/>
    <w:lvl w:ilvl="0">
      <w:lvlJc w:val="left"/>
      <w:lvlText w:val="(%1)"/>
      <w:numFmt w:val="lowerLetter"/>
      <w:start w:val="6"/>
    </w:lvl>
  </w:abstractNum>
  <w:abstractNum w:abstractNumId="7">
    <w:nsid w:val="54E49EB4"/>
    <w:multiLevelType w:val="hybridMultilevel"/>
    <w:lvl w:ilvl="0">
      <w:lvlJc w:val="left"/>
      <w:lvlText w:val="(%1)"/>
      <w:numFmt w:val="lowerLetter"/>
      <w:start w:val="11"/>
    </w:lvl>
  </w:abstractNum>
  <w:abstractNum w:abstractNumId="8">
    <w:nsid w:val="71F32454"/>
    <w:multiLevelType w:val="hybridMultilevel"/>
    <w:lvl w:ilvl="0">
      <w:lvlJc w:val="left"/>
      <w:lvlText w:val="(%1)"/>
      <w:numFmt w:val="lowerLetter"/>
      <w:start w:val="15"/>
    </w:lvl>
  </w:abstractNum>
  <w:abstractNum w:abstractNumId="9">
    <w:nsid w:val="2CA88611"/>
    <w:multiLevelType w:val="hybridMultilevel"/>
    <w:lvl w:ilvl="0">
      <w:lvlJc w:val="left"/>
      <w:lvlText w:val="%1"/>
      <w:numFmt w:val="lowerLetter"/>
      <w:start w:val="1"/>
    </w:lvl>
    <w:lvl w:ilvl="1">
      <w:lvlJc w:val="left"/>
      <w:lvlText w:val="(%2)"/>
      <w:numFmt w:val="lowerLetter"/>
      <w:start w:val="17"/>
    </w:lvl>
  </w:abstractNum>
  <w:abstractNum w:abstractNumId="10">
    <w:nsid w:val="836C40E"/>
    <w:multiLevelType w:val="hybridMultilevel"/>
    <w:lvl w:ilvl="0">
      <w:lvlJc w:val="left"/>
      <w:lvlText w:val="(%1)"/>
      <w:numFmt w:val="lowerLetter"/>
      <w:start w:val="9"/>
    </w:lvl>
    <w:lvl w:ilvl="1">
      <w:lvlJc w:val="left"/>
      <w:lvlText w:val="(%2)"/>
      <w:numFmt w:val="lowerLetter"/>
      <w:start w:val="20"/>
    </w:lvl>
  </w:abstractNum>
  <w:abstractNum w:abstractNumId="11">
    <w:nsid w:val="2901D82"/>
    <w:multiLevelType w:val="hybridMultilevel"/>
    <w:lvl w:ilvl="0">
      <w:lvlJc w:val="left"/>
      <w:lvlText w:val="(%1)"/>
      <w:numFmt w:val="lowerLetter"/>
      <w:start w:val="61"/>
    </w:lvl>
    <w:lvl w:ilvl="1">
      <w:lvlJc w:val="left"/>
      <w:lvlText w:val="%2"/>
      <w:numFmt w:val="lowerLetter"/>
      <w:start w:val="1"/>
    </w:lvl>
  </w:abstractNum>
  <w:abstractNum w:abstractNumId="12">
    <w:nsid w:val="3A95F874"/>
    <w:multiLevelType w:val="hybridMultilevel"/>
    <w:lvl w:ilvl="0">
      <w:lvlJc w:val="left"/>
      <w:lvlText w:val="(%1)"/>
      <w:numFmt w:val="lowerLetter"/>
      <w:start w:val="35"/>
    </w:lvl>
    <w:lvl w:ilvl="1">
      <w:lvlJc w:val="left"/>
      <w:lvlText w:val="%2"/>
      <w:numFmt w:val="lowerLetter"/>
      <w:start w:val="1"/>
    </w:lvl>
  </w:abstractNum>
  <w:abstractNum w:abstractNumId="13">
    <w:nsid w:val="8138641"/>
    <w:multiLevelType w:val="hybridMultilevel"/>
    <w:lvl w:ilvl="0">
      <w:lvlJc w:val="left"/>
      <w:lvlText w:val="(%1)"/>
      <w:numFmt w:val="lowerLetter"/>
      <w:start w:val="22"/>
    </w:lvl>
  </w:abstractNum>
  <w:abstractNum w:abstractNumId="14">
    <w:nsid w:val="1E7FF521"/>
    <w:multiLevelType w:val="hybridMultilevel"/>
    <w:lvl w:ilvl="0">
      <w:lvlJc w:val="left"/>
      <w:lvlText w:val="(%1)"/>
      <w:numFmt w:val="lowerLetter"/>
      <w:start w:val="27"/>
    </w:lvl>
  </w:abstractNum>
  <w:abstractNum w:abstractNumId="15">
    <w:nsid w:val="7C3DBD3D"/>
    <w:multiLevelType w:val="hybridMultilevel"/>
    <w:lvl w:ilvl="0">
      <w:lvlJc w:val="left"/>
      <w:lvlText w:val="(%1)"/>
      <w:numFmt w:val="lowerLetter"/>
      <w:start w:val="28"/>
    </w:lvl>
  </w:abstractNum>
  <w:abstractNum w:abstractNumId="16">
    <w:nsid w:val="737B8DDC"/>
    <w:multiLevelType w:val="hybridMultilevel"/>
    <w:lvl w:ilvl="0">
      <w:lvlJc w:val="left"/>
      <w:lvlText w:val="(%1)"/>
      <w:numFmt w:val="lowerLetter"/>
      <w:start w:val="32"/>
    </w:lvl>
  </w:abstractNum>
  <w:abstractNum w:abstractNumId="17">
    <w:nsid w:val="6CEAF087"/>
    <w:multiLevelType w:val="hybridMultilevel"/>
    <w:lvl w:ilvl="0">
      <w:lvlJc w:val="left"/>
      <w:lvlText w:val="%1"/>
      <w:numFmt w:val="upperLetter"/>
      <w:start w:val="1"/>
    </w:lvl>
    <w:lvl w:ilvl="1">
      <w:lvlJc w:val="left"/>
      <w:lvlText w:val="(%2)"/>
      <w:numFmt w:val="lowerLetter"/>
      <w:start w:val="36"/>
    </w:lvl>
  </w:abstractNum>
  <w:abstractNum w:abstractNumId="18">
    <w:nsid w:val="22221A70"/>
    <w:multiLevelType w:val="hybridMultilevel"/>
    <w:lvl w:ilvl="0">
      <w:lvlJc w:val="left"/>
      <w:lvlText w:val="(%1)"/>
      <w:numFmt w:val="upperLetter"/>
      <w:start w:val="1"/>
    </w:lvl>
    <w:lvl w:ilvl="1">
      <w:lvlJc w:val="left"/>
      <w:lvlText w:val="%2"/>
      <w:numFmt w:val="lowerLetter"/>
      <w:start w:val="1"/>
    </w:lvl>
  </w:abstractNum>
  <w:abstractNum w:abstractNumId="19">
    <w:nsid w:val="4516DDE9"/>
    <w:multiLevelType w:val="hybridMultilevel"/>
    <w:lvl w:ilvl="0">
      <w:lvlJc w:val="left"/>
      <w:lvlText w:val="(%1)"/>
      <w:numFmt w:val="lowerLetter"/>
      <w:start w:val="38"/>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4"/>
    </w:lvl>
  </w:abstractNum>
  <w:abstractNum w:abstractNumId="22">
    <w:nsid w:val="419AC241"/>
    <w:multiLevelType w:val="hybridMultilevel"/>
    <w:lvl w:ilvl="0">
      <w:lvlJc w:val="left"/>
      <w:lvlText w:val="(%1)"/>
      <w:numFmt w:val="lowerLetter"/>
      <w:start w:val="8"/>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1"/>
    </w:lvl>
    <w:lvl w:ilvl="1">
      <w:lvlJc w:val="left"/>
      <w:lvlText w:val="(%2)"/>
      <w:numFmt w:val="lowerLetter"/>
      <w:start w:val="3"/>
    </w:lvl>
  </w:abstractNum>
  <w:abstractNum w:abstractNumId="26">
    <w:nsid w:val="3804823E"/>
    <w:multiLevelType w:val="hybridMultilevel"/>
    <w:lvl w:ilvl="0">
      <w:lvlJc w:val="left"/>
      <w:lvlText w:val="(%1)"/>
      <w:numFmt w:val="lowerLetter"/>
      <w:start w:val="35"/>
    </w:lvl>
    <w:lvl w:ilvl="1">
      <w:lvlJc w:val="left"/>
      <w:lvlText w:val="%2"/>
      <w:numFmt w:val="lowerLetter"/>
      <w:start w:val="1"/>
    </w:lvl>
  </w:abstractNum>
  <w:abstractNum w:abstractNumId="27">
    <w:nsid w:val="77465F01"/>
    <w:multiLevelType w:val="hybridMultilevel"/>
    <w:lvl w:ilvl="0">
      <w:lvlJc w:val="left"/>
      <w:lvlText w:val="(%1)"/>
      <w:numFmt w:val="lowerLetter"/>
      <w:start w:val="4"/>
    </w:lvl>
    <w:lvl w:ilvl="1">
      <w:lvlJc w:val="left"/>
      <w:lvlText w:val="(%2)"/>
      <w:numFmt w:val="lowerLetter"/>
      <w:start w:val="9"/>
    </w:lvl>
  </w:abstractNum>
  <w:abstractNum w:abstractNumId="28">
    <w:nsid w:val="7724C67E"/>
    <w:multiLevelType w:val="hybridMultilevel"/>
    <w:lvl w:ilvl="0">
      <w:lvlJc w:val="left"/>
      <w:lvlText w:val="%1"/>
      <w:numFmt w:val="lowerLetter"/>
      <w:start w:val="1"/>
    </w:lvl>
    <w:lvl w:ilvl="1">
      <w:lvlJc w:val="left"/>
      <w:lvlText w:val="(%2)"/>
      <w:numFmt w:val="lowerRoman"/>
      <w:start w:val="3"/>
    </w:lvl>
  </w:abstractNum>
  <w:abstractNum w:abstractNumId="29">
    <w:nsid w:val="5C482A97"/>
    <w:multiLevelType w:val="hybridMultilevel"/>
    <w:lvl w:ilvl="0">
      <w:lvlJc w:val="left"/>
      <w:lvlText w:val="(%1)"/>
      <w:numFmt w:val="lowerLetter"/>
      <w:start w:val="11"/>
    </w:lvl>
    <w:lvl w:ilvl="1">
      <w:lvlJc w:val="left"/>
      <w:lvlText w:val="%2"/>
      <w:numFmt w:val="lowerRoman"/>
      <w:start w:val="1"/>
    </w:lvl>
  </w:abstractNum>
  <w:abstractNum w:abstractNumId="30">
    <w:nsid w:val="2463B9EA"/>
    <w:multiLevelType w:val="hybridMultilevel"/>
    <w:lvl w:ilvl="0">
      <w:lvlJc w:val="left"/>
      <w:lvlText w:val="(%1)"/>
      <w:numFmt w:val="lowerRoman"/>
      <w:start w:val="2"/>
    </w:lvl>
  </w:abstractNum>
  <w:abstractNum w:abstractNumId="31">
    <w:nsid w:val="5E884ADC"/>
    <w:multiLevelType w:val="hybridMultilevel"/>
    <w:lvl w:ilvl="0">
      <w:lvlJc w:val="left"/>
      <w:lvlText w:val="(%1)"/>
      <w:numFmt w:val="lowerLetter"/>
      <w:start w:val="1"/>
    </w:lvl>
  </w:abstractNum>
  <w:abstractNum w:abstractNumId="32">
    <w:nsid w:val="51EAD36B"/>
    <w:multiLevelType w:val="hybridMultilevel"/>
    <w:lvl w:ilvl="0">
      <w:lvlJc w:val="left"/>
      <w:lvlText w:val="(%1)"/>
      <w:numFmt w:val="lowerLetter"/>
      <w:start w:val="4"/>
    </w:lvl>
  </w:abstractNum>
  <w:abstractNum w:abstractNumId="33">
    <w:nsid w:val="2D517796"/>
    <w:multiLevelType w:val="hybridMultilevel"/>
    <w:lvl w:ilvl="0">
      <w:lvlJc w:val="left"/>
      <w:lvlText w:val="(%1)"/>
      <w:numFmt w:val="lowerRoman"/>
      <w:start w:val="3"/>
    </w:lvl>
  </w:abstractNum>
  <w:abstractNum w:abstractNumId="34">
    <w:nsid w:val="580BD78F"/>
    <w:multiLevelType w:val="hybridMultilevel"/>
    <w:lvl w:ilvl="0">
      <w:lvlJc w:val="left"/>
      <w:lvlText w:val="(%1)"/>
      <w:numFmt w:val="lowerLetter"/>
      <w:start w:val="1"/>
    </w:lvl>
    <w:lvl w:ilvl="1">
      <w:lvlJc w:val="left"/>
      <w:lvlText w:val="(%2)"/>
      <w:numFmt w:val="lowerRoman"/>
      <w:start w:val="1"/>
    </w:lvl>
  </w:abstractNum>
  <w:abstractNum w:abstractNumId="35">
    <w:nsid w:val="153EA438"/>
    <w:multiLevelType w:val="hybridMultilevel"/>
    <w:lvl w:ilvl="0">
      <w:lvlJc w:val="left"/>
      <w:lvlText w:val="(%1)"/>
      <w:numFmt w:val="lowerRoman"/>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2"/>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1."/>
      <w:numFmt w:val="lowerRoman"/>
      <w:start w:val="2"/>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lvl w:ilvl="1">
      <w:lvlJc w:val="left"/>
      <w:lvlText w:val="\endash "/>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2026-04-16T08:31:29Z</dcterms:created>
  <dcterms:modified xsi:type="dcterms:W3CDTF">2026-04-16T08:31:29Z</dcterms:modified>
</cp:coreProperties>
</file>