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8206" w:type="dxa"/>
        <w:jc w:val="left"/>
        <w:tblInd w:w="0" w:type="dxa"/>
        <w:tblLayout w:type="fixed"/>
        <w:tblCellMar>
          <w:top w:w="28" w:type="dxa"/>
          <w:left w:w="28" w:type="dxa"/>
          <w:bottom w:w="28" w:type="dxa"/>
          <w:right w:w="28" w:type="dxa"/>
        </w:tblCellMar>
      </w:tblPr>
      <w:tblGrid>
        <w:gridCol w:w="8206"/>
      </w:tblGrid>
      <w:tr>
        <w:trPr/>
        <w:tc>
          <w:tcPr>
            <w:tcW w:w="820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820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8206" w:type="dxa"/>
            <w:tcBorders/>
            <w:vAlign w:val="center"/>
          </w:tcPr>
          <w:p>
            <w:pPr>
              <w:pStyle w:val="TableContents"/>
              <w:bidi w:val="0"/>
              <w:spacing w:before="0" w:after="0"/>
              <w:jc w:val="left"/>
              <w:rPr/>
            </w:pPr>
            <w:r>
              <w:rPr/>
              <w:t xml:space="preserve">UNDER THE SECURITIES EXCHANGE ACT OF 1934 </w:t>
            </w:r>
          </w:p>
        </w:tc>
      </w:tr>
      <w:tr>
        <w:trPr/>
        <w:tc>
          <w:tcPr>
            <w:tcW w:w="820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8206" w:type="dxa"/>
            <w:tcBorders/>
            <w:vAlign w:val="center"/>
          </w:tcPr>
          <w:p>
            <w:pPr>
              <w:pStyle w:val="TableContents"/>
              <w:bidi w:val="0"/>
              <w:spacing w:before="0" w:after="0"/>
              <w:jc w:val="center"/>
              <w:rPr>
                <w:b/>
                <w:color w:val="0000FF"/>
              </w:rPr>
            </w:pPr>
            <w:r>
              <w:rPr>
                <w:b/>
                <w:color w:val="0000FF"/>
              </w:rPr>
              <w:t>Adlai Nortye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8206" w:type="dxa"/>
            <w:tcBorders/>
            <w:vAlign w:val="center"/>
          </w:tcPr>
          <w:p>
            <w:pPr>
              <w:pStyle w:val="TableContents"/>
              <w:bidi w:val="0"/>
              <w:spacing w:before="0" w:after="0"/>
              <w:jc w:val="center"/>
              <w:rPr>
                <w:b/>
                <w:color w:val="0000FF"/>
              </w:rPr>
            </w:pPr>
            <w:r>
              <w:rPr>
                <w:b/>
                <w:color w:val="0000FF"/>
              </w:rPr>
              <w:t>American Depositary Shares, each representing three 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820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820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Cormorant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3,978,229.00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3,978,229.00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3,978,229.00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Bihua Chen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3,978,229.00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3,978,229.00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3,978,229.00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Adlai Nortye Ltd.</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PO Box 309, Ugland House, Grand Cayman, KY1-1104, Cayman Islands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Cormorant Asset Management, LP Bihua Chen This statement is filed by (i) Cormorant Asset Management, LP, a 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Clarendon Street, 50th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Cormorant Asset Management, LP - Delaware Bihua Chen - United States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three 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3,978,229</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6.77%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3,978,229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3,978,229 The percentages reported herein with respect to the Reporting Persons' holdings are calculated based upon (i) a statement on Form 20-F filed by the Issuer on April 10, 2026 that there were 142,241,572 Class A ordinary shares outstanding as of April 10, 2026 and that one American Depositary Share represents three Class A Ordinary Shares and (ii) a statement in Exhibit No. 99.1 attached to the Current Report on Form 6-K filed by the Issuer on April 16, 2026 reporting that the Issuer was selling 11,320,755 American Depositary Shares in a private placement and that the private placement was expected to close on April 17,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 The Cormorant Funds have the right to receive or the power to direct the receipt of dividends from, or the proceeds from the sale of, the shares reported herein. Cormorant Global Healthcare Master Fund, LP, a Cormorant Fund, has the right to receive or the power to direct the receipt of dividends or the proceeds from the sale of more than 5% of the shares.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Cormorant Asset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Bihua Chen</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Bihua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Bihua Chen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incorporated by reference to the Joint Filing Statement included with the Schedule 13G filed by the Reporting Persons on May 15,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1276</Words>
  <Characters>6509</Characters>
  <CharactersWithSpaces>7754</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