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4812-posam1_adlai.htm"/>
      <w:bookmarkStart w:id="1" w:name="ksea0304812posam1_adlai"/>
      <w:bookmarkEnd w:id="0"/>
      <w:bookmarkEnd w:id="1"/>
      <w:r>
        <w:rPr>
          <w:rFonts w:ascii="Times New Roman;Times;Serif" w:hAnsi="Times New Roman;Times;Serif"/>
          <w:b/>
          <w:i w:val="false"/>
          <w:caps w:val="false"/>
          <w:smallCaps w:val="false"/>
          <w:sz w:val="20"/>
        </w:rPr>
        <w:t>As filed with the Securities and Exchange Commission on September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333-294173</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b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Adlai Nortye Group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Singapore</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 Robinson Road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#20-01, Robinson 77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068896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+1 848 230 7430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685 US Highway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Brunswick Township, NJ 08902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+1 848 230 7430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 Wang, Esq.</w:t>
        <w:br/>
        <w:t>Han Kun Law Offices LLP</w:t>
        <w:br/>
        <w:t>Rooms 4301-10, 43/F., Gloucester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Landmark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Queen’s Road Central, Hong Kong</w:t>
        <w:br/>
        <w:t>+852 6386 1503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No.1 or this Amendment, to the registration statement on Form F-3 (File No. 333-294173) (as amended) or the Registration Statement, is being filed pursuant to Rule 414(d) under the Securities Act of 1933, as amended, or the Securities Act, by Adlai Nortye Group Ltd. (formerly known as Adlai Nortye Ltd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public company limited by shares registered under the laws of Singapore (the “Company”), which was filed with the Securities and Exchange Commission or the SEC and became effective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29, 2026, the Company changed its jurisdiction of incorporation from the Cayman Islands to Singapore through a transaction known as a continuation pursuant to Article 171 of the Articles of Association of the Company in force at that time and registered by way of continuation as a public company limited by shares in Singapore by way of transfer of registration under Part 10A of the Companies Act 1967 (as revised) of Singapore (the “Continuation”) and changed its legal English name from “Adlai Nortye Ltd.” to “Adlai Nortye Group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Amendment and the Registration Statement, references to the “Company,” the “Registrant,” “we,” “our,” “us” and similar terms mean, as of any time prior to the Continuation, Adlai Nortye Ltd. and, as of any time after the Continuation, Adlai Nortye Group Ltd. The information contained in this Amendment sets forth additional information to reflect the Continuation. All documents filed by the Company under Sections 13(a), 13(c), 14 or 15(d) of the Exchange Act before the marketplace effective date of the Continuation did not reflect the change in the Company’s name, jurisdiction of incorporation or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Continuation, please see the section titled “Special Note Regarding The Continuation” in the prospectus contained in this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US$600,000,000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98,577,627 Class A Ordinary Shares (represented by 32,859,209 American Depositary Shares) Offered by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381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US$600,000,000 of Class A ordinary shares, including Class A Ordinary Shares represented by American Depositary Shares (“ADSs”), each representing 3 Class A Ordinary Shares, debt securities, warrants, rights, and units, or any combination thereof, together or separately as described in this prospectus. In this prospectus, references to the term “securities” refers to our Ordinary Shares and our Ordinary Shares represented by ADSs, debt securities, warrants, rights, and units, and securities that may be convertible or exchangeable into the foregoing.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selling shareholders named in this prospectus or their transferees may, from time to time in one or more offerings, offer and sell up to 98,577,627 Class A Ordinary Shares (represented by 32,859,209 American Depositary Shares), consisting of (i) up to 64,615,386 Class A Ordinary Shares, issued to certain of selling shareholders in February 2026, or the February 2026 Private Placement; and (ii) up to 33,962,241 Class A Ordinary Shares, issued to certain of selling shareholder in April 2026, or the April 2026 Private Placement. For more details, please see “Prospectus Summary – Recent Developments – February 2026 Private Placement” and “– April 2026 Private Placement”. We will not receive any proceeds from the sale of our securities by our selling security holders, but we may pay certain registration and offering fees and expenses associated with the registration and sale of those securities. See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from time to time, offer the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Nasdaq under the symbol “ANL.” On September 10, the last reported sale price of the ADSs on Nasdaq was US$15.09 per ADS.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Group Ltd. is not a Chinese operating company, but is a Singapore holding company. Our daily operations are conducted primarily through our operating subsidiaries in the United States and mainland China. Investors purchasing the ADSs in this initial public offering are purchasing equity securities of our Singapore holding company and are not purchasing equity securities of our operating subsidiaries. As a holding company, we may rely on dividends from our subsidiaries for our cash requirements, including any payment of dividends to our shareholders. The ability of our subsidiaries to pay dividends to us, however, may be restricted by the debt they incur on their own behalf and/or laws and regulations applicable to them. Unless otherwise indicated or the context otherwise requires, “we,” “us,” “our company,” and “our” refer to Adlai Nortye Group Ltd., our Singapore holding company and its subsidiaries, which include those in the U.S. and mainland China that conduct daily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needed, cash can be transferred between our Singapore holding company and subsidiaries incorporated in the United States, mainland China and Hong Kong through equity investments and intercompany loans. Currently, there are no currency exchange control measures applicable to transfers of funds between our Singapore holding company and subsidiaries in the United States and Hong Kong; however, currency exchange control measures imposed by the PRC government may restrict the ability of our subsidiaries in the PRC to transfer their cash to our Singapore holding company and other subsidiaries incorporated outside the PRC through loans, advances or cash dividends. We may also make loans and additional capital contribution to our subsidiaries or branches, subject to certain restrictions under the applicable local laws, including the laws of China. We have no plans to declare cash dividends in the near term, but as a holding company, we may depend on receipt of funds from one or more of our subsidiaries if we determine to pay cash dividends to holders of our ordinary shares and the ADSs in the future. We do not have a regular dividend policy, and our Board of Directors has discretion as to whether to distribute dividends, subject to certain requirements of Singapore law. As of the date of this prospectus, our Singapore holding company has not declared or paid any dividends or distributions on equity to its shareholders. U.S. investors will not be subject to Singapore taxation on dividend distributions, and no withholding will be required on the payment of dividends or distributions to them while they may be subject to U.S. federal income tax. Adlai Nortye Group Ltd., our Singapore holding company, may be classified as a “resident enterprise” of China. This classification could result in unfavorable tax consequences to us and our non-PRC shareholders and dividends paid by us may be subject to PRC withholding tax. See “Item 10. Additional Information—E. Taxation — United States federal income tax considerations — Dividends.” of our most recent annual report for the financial year ended December 31, 2025 on Form 20-F filed with the Securities Exchange Commission (the “2025 Annual Report”). We have no plans to declare cash dividends in the near term, but as a holding company, we may depend on receipt of funds from one or more of our subsidiaries if we determine to pay cash dividends to holders of our ordinary shares and the ADSs in the future. We do not have a regular dividend policy, and our board of directors has discretion as to whether to distribute dividends, subject to certain requirements of Singapore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or the HFCAA, the Public Company Accounting Oversight Board, or the PCAOB, issued a Determination Report in December 2021 which found that the PCAOB was unable to inspect or investigate completely registered public accounting firms headquartered in mainland China and Hong Kong because of positions taken by the authorities in those jurisdictions. Our current auditor, BDO China Shu Lun Pan Certified Public Accountants LLP (“BDO”), which is based in Shanghai, is currently subject to inspection by the PCAOB at least every three years. However, BDO is located in, and organized under the laws of, the PRC. On August 26, 2022, the PCAOB entered into a Statement of Protocol with the China Securities Regulatory Commission and the Ministry of Finance of the PRC and, as summarized in the “Statement on Agreement Governing Inspections and Investigations of Audit Firms Based in China and Hong Kong” published on the SEC’s official website, the parties agreed to the following: (i) in accordance with the Sarbanes-Oxley Act of 2002, or the Sarbanes-Oxley Act, the PCAOB shall have independent discretion to select any issuer audits for inspection or investigation; (ii) the PCAOB shall have direct access to interview or take testimony from all personnel of the audit firms whose issuer engagements are being inspected or investigated; (iii) the PCAOB shall have the unfettered ability to transfer information to the SEC, in accordance with the Sarbanes-Oxley Act; and (iv) the PCAOB inspectors shall have access to complete audit work papers without any redactions, with view-only procedures for certain targeted pieces of information such as personally identifiable information. On December 15, 2022, the PCAOB issued a report that vacated its December 16, 2021 determination and removed mainland China and Hong Kong from the list of jurisdictions where it is unable to inspect or investigate completely registered public accounting firms. On December 29, 2022, legislation entitled “Consolidated Appropriations Act, 2023” (the “Consolidated Appropriations Act”), was signed into law by President Joseph Biden of the United States. The Consolidated Appropriations Act contained, among other things, an identical provision to Accelerating Holding Foreign Companies Accountable Act, which reduces the number of consecutive non-inspection years required for triggering the prohibitions under the HFCAA from three years to two. Each year, the PCAOB will determine whether it can inspect and investigate completely audit firms in mainland China and Hong Kong, among other jurisdictions. We cannot assure you that we will not be identified by the SEC under the HFCAA as an issuer that has retained an auditor that has a branch or office located in a foreign jurisdiction that the PCAOB determines it is unable to inspect or investigate completely because of a position taken by an authority in that foreign jurisdiction. In addition, there can be no assurance that, if we have a “non-inspection” year, we will be able to take any remedial measures. If we were so identified for two consecutive years, trading in our securities could in the future be prohibited under the HFCAA and, as a result, we cannot assure you that we will be able to maintain the listing of the ADSs on the Nasdaq Stock Market or that you will be allowed to trade the ADSs in the United States on the “over-the-counter” markets or otherwise. Should the ADSs become not listed or tradeable in the United States, the value of the ADSs could be materially affected. See “Item 3. Key Information—D. Risk Factors — Risks relating to our operation in the People’s Republic of China  — The ADSs may be delisted under the HFCAA if the PCAOB is unable to inspect auditors or their affiliates that are located in mainland China. The delisting of the ADSs, or the threat of such delisting, may materially and adversely affect the value of your investment. Additionally, the inability of the PCAOB to conduct inspections deprives our investors of the benefits of such inspections.” of the 2025 Annual Report for a detailed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the applicable U.S. federal securities laws and are eligible for reduced public company reporting requirements. See “Risk Factors” in the 2025 Annual Report for factors you should consider before buying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may continue to experience price volatility in our ordinary shares. See related risk factors in the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16 of this prospectus and risk factors set forth in the 2025 Annual Report, in other reports incorporated herein by reference, and in an applicable prospectus supplement under the heading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60"/>
        <w:gridCol w:w="455"/>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68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68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Commonly Used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468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468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6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468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Offer Statistics and Expected Timetable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Dilution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468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468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468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68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468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Selling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44</w:t>
            </w:r>
          </w:p>
        </w:tc>
      </w:tr>
      <w:tr>
        <w:trPr/>
        <w:tc>
          <w:tcPr>
            <w:tcW w:w="468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68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Expenses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50</w:t>
            </w:r>
          </w:p>
        </w:tc>
      </w:tr>
      <w:tr>
        <w:trPr/>
        <w:tc>
          <w:tcPr>
            <w:tcW w:w="468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50</w:t>
            </w:r>
          </w:p>
        </w:tc>
      </w:tr>
      <w:tr>
        <w:trPr/>
        <w:tc>
          <w:tcPr>
            <w:tcW w:w="468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468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468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Special Note Regarding The Continuation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468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52</w:t>
            </w:r>
          </w:p>
        </w:tc>
      </w:tr>
      <w:tr>
        <w:trPr/>
        <w:tc>
          <w:tcPr>
            <w:tcW w:w="4685"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Enforceability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utilizing a “shelf” registration process. Under this shelf registration process, we may, from time to time, sell the securities described in this prospectus in one or more offerings, up to a total offering amount of US$ 600,000,000 of the securities, and the selling shareholders referred to in this prospectus and identified in supplements to this prospectus may sell up to an aggregate amount of 98,577,627 Class A Ordinary Shares (represented by 32,859,209 American Depositary Shares, or ADSs) in one or more offerings. The ADSs, each representing three Class A Ordinary Shares, are listed on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Neither we nor the selling shareholders have authorized anyone to provide you with additional or different information. Neither we nor the selling shareholders take responsibility for, nor can we provide assurance as to the reliability of, any other information that others may provide. Neither we nor the selling shareholders are making an offer to sell these securities in any jurisdiction where the offer or sale is not permitted.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unless we indicate otherwise. Our business, financial condition, results of operations and/or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ADRs” are to the American depositary receipts that may evidence the ADSs;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ADSs” are to the American depositary shares, each of which represents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BVI” are to the British Virgin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China” or the “PRC” are to the People’s Republic of China;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Class A ordinary shares” are to our Class A ordinary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Class B ordinary shares” are to our 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Hangzhou Adlai” is to Adlai Nortye Biopharma Co., Ltd., our wholly foreign-owned enterprise incorporated in the PRC;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Hong Kong” is to Hong Kong Special Administrative Region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Macau” is to Macau Special Administrative Region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RMB” or “Renminbi” are to the legal currency of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shares” or “ordinary shares” are to our Class A ordinary shares and Class B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US$,” “U.S. dollars,” “$,” or “dollars” are to the legal currency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U.S. GAAP” are to accounting principles generally accepted in the United States;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w:t>
            </w:r>
            <w:r>
              <w:rPr>
                <w:rFonts w:ascii="Times New Roman;Times;Serif" w:hAnsi="Times New Roman;Times;Serif"/>
                <w:sz w:val="20"/>
              </w:rPr>
              <w:t>we,” “us,” “our company,” “our” and “ANL” are to Adlai Nortye Group Ltd. (previously known as Adlai Nortye Ltd.), our Singapore holding company and its subsidiaries, which include those in the U.S. and mainland China that conduct daily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an applicable prospectus supplement, and our SEC filings that are incorporated by reference into this prospectus.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Information—3.D. Risk Factors” in our annual report on Form 20-F for the fiscal year ended December 31, 2025. These risks and uncertainties include factors relating to:</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strategies and plans to achieve these strategies;</w:t>
            </w:r>
          </w:p>
        </w:tc>
      </w:tr>
    </w:tbl>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progress, and results of preclinical studies, and clinical trials for drug candidates we may develop;</w:t>
            </w:r>
          </w:p>
        </w:tc>
      </w:tr>
    </w:tbl>
    <w:p>
      <w:pPr>
        <w:pStyle w:val="TextBody"/>
        <w:bidi w:val="0"/>
        <w:spacing w:before="0" w:after="0"/>
        <w:ind w:left="72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to obtain the relevant requisite regulatory approvals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feasibility to successfully commercialize our drug candidates in a timely manner;</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competitive conditions and the feasibility to compete under these conditions;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the market opportunity for our drug candidates, including our estimates of the number of patients who suffer from the diseases we are targeting;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likelihood to maintain the collaboration with licensors, and establish or maintain future collaborations or strategic relationships;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feasibility to obtain, and negotiate favorable terms of, any collaboration, licensing or other arrangements that may be necessary or desirable to develop, manufacture or commercialize our drug candidates;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the political and regulatory environment in the industry and markets in which we operate;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effects of the global financial markets and economic crisis;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or volatility in interest rates, foreign exchange rates, equity prices, volumes, operations, margins, risk management, and overall market trends;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period during which we will qualify as an emerging growth company under the JOBS Act;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assumptions underlying or related to any of the foregoing.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are cautioned to consider these and any other factors that are discussed in the section entitled “Risk Factors” elsewhere in this prospectus, in our most recent Annual Report on Form 20-F and in any prospectus supplement or documents we incorporate by reference into this prospectus. These risks are not exhaustive. These risks could cause actual results to differ materially from those implied by forward-looking statements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a_004"/>
      <w:bookmarkEnd w:id="5"/>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br/>
        <w:t>This summary highlights only some of the information included or incorporated by reference in this prospectus. You should carefully read this prospectus together with the additional information about us described in the sections entitled “Where You Can Find Additional Information” and “Incorporation of Certain Information by Reference” before purchasing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History and Development of the Company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commenced our business in mainland China in 2004 through Adlai Nortye Biopharma Co., Ltd., which we refer to as our operating subsidiary in the PRC. We initially focused primarily on generic pharmaceuticals and polypeptide intermediate, until 2016 when our founders, Mr. Yang Lu and Mr. Donghui Yang, led our strategic transition to become a R&amp;D-driven pharmaceutical company, focusing on the discovery and development of innovative cancer therapies.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ultimate holding company was initially incorporated in the Cayman Islands in May 2018 to facilitate offshore financing activities, and our daily operations are conducted primarily through our operating subsidiaries in the United States and mainland China. Between January 2018 and June 2022, Alpine Bioscience Ltd, Adlai Nortye Pte. Ltd., Adlai Nortye (HK) Limited, and Adlai Nortye (Switzerland) AG were incorporated in the British Virgin Islands, Singapore, Hong Kong, and Switzerland as our intermediary holding entities. In March 2019, Adlai Nortye (HK) Limited acquired entire equity interests in Adlai Nortye Biopharma Co., Ltd. from its then shareholders and Adlai Nortye Biopharma Co., Ltd. became a wholly owned subsidiary of our ultimate holding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order to conduct clinical trials in the U.S., Adlai Nortye USA INC was incorporated under the laws of the State of Delaware in the U.S. in January 2018. In June 2022, as a part of a reorganization, Adlai Nortye (Switzerland) AG acquired all its shares and Adlai Nortye USA INC become a wholly owned subsidiary of our ultimate holding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Effective July 29, 2026, the Company changed its jurisdiction of incorporation from the Cayman Islands to Singapore through a transaction known as a continuation pursuant to Article 171 of the Articles of Association of the Company in force at that time and registered by way of continuation as a public company limited by shares in Singapore by way of transfer of registration under Part 10A of the Companies Act 1967 of Singapore (the “Continuation”) and changed its legal English name from Adlai Nortye Ltd. to Adlai Nortye Group Ltd.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address of our registered office in Singapore and our principal executive office is at 77 Robinson Road, #20-01, Robinson 77, Singapore 068896. Our telephone number is +1 848-230-7430. The United States and China are two important markets and locations for our operations. In addition to our principal executive office in Singapore, we also have two regional headquarters at (i) New Jersey Biotechnology Development Center, 685 US Hwy 1, 2nd floor, North Brunswick Township, NJ 08902, the United States and (ii) Building 6 &amp; 8, 1008 Xiangwang Street, Yuhang District, Hangzhou, Zhejiang, the People’s Republic of China. Our agent for service of process in the United States is Cogency Global Inc., with the address at 122 East 42nd Street,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In September 2023, we became a publicly traded company on the Nasdaq under the symbol “ANL.” Our reports filed with or furnished to the SEC are available on our website at </w:t>
      </w:r>
      <w:r>
        <w:rPr>
          <w:rFonts w:ascii="Times New Roman;Times;Serif" w:hAnsi="Times New Roman;Times;Serif"/>
          <w:b w:val="false"/>
          <w:i/>
          <w:caps w:val="false"/>
          <w:smallCaps w:val="false"/>
          <w:sz w:val="20"/>
          <w:bdr w:val="single" w:sz="12" w:space="1" w:color="000000"/>
        </w:rPr>
        <w:t>https://www.adlainortye.com</w:t>
      </w:r>
      <w:r>
        <w:rPr>
          <w:rFonts w:ascii="Times New Roman;Times;Serif" w:hAnsi="Times New Roman;Times;Serif"/>
          <w:b w:val="false"/>
          <w:i w:val="false"/>
          <w:caps w:val="false"/>
          <w:smallCaps w:val="false"/>
          <w:sz w:val="20"/>
          <w:bdr w:val="single" w:sz="12" w:space="1" w:color="000000"/>
        </w:rPr>
        <w:t xml:space="preserve"> as soon as reasonably practicable after we electronically file such material with, or furnish it to, the SEC. The information contained on our websites is not a part of this annual report. The SEC maintains a website at </w:t>
      </w:r>
      <w:r>
        <w:rPr>
          <w:rFonts w:ascii="Times New Roman;Times;Serif" w:hAnsi="Times New Roman;Times;Serif"/>
          <w:b w:val="false"/>
          <w:i/>
          <w:caps w:val="false"/>
          <w:smallCaps w:val="false"/>
          <w:sz w:val="20"/>
          <w:bdr w:val="single" w:sz="12" w:space="1" w:color="000000"/>
        </w:rPr>
        <w:t>http://www.sec.gov</w:t>
      </w:r>
      <w:r>
        <w:rPr>
          <w:rFonts w:ascii="Times New Roman;Times;Serif" w:hAnsi="Times New Roman;Times;Serif"/>
          <w:b w:val="false"/>
          <w:i w:val="false"/>
          <w:caps w:val="false"/>
          <w:smallCaps w:val="false"/>
          <w:sz w:val="20"/>
          <w:bdr w:val="single" w:sz="12" w:space="1" w:color="000000"/>
        </w:rPr>
        <w:t xml:space="preserve"> that contains reports and other information regarding us and other companies that file materials with the SEC electronically.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Overview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global clinical-stage company at the forefront of discovering and developing innovative cancer therapies. Leveraging our dual R&amp;D presence in the U.S. and China, we are building a robust pipeline of drug candidates focused on two key areas where we believe we can make a significant difference. (1) RAS-targeting therapies: we are tackling RAS-driven cancers with AN9025, an oral pan-RAS(ON) inhibitor, and AN4035, a CEACAM5-targeting ADC delivering a potent pan-RAS(ON) inhibitor directly to tumors. (2) Next-generation cancer immunotherapies: our candidates, AN8025 (a tri-functional fusion protein of αPD-L1 x CD86 variant x LAG3 variant), a T-cell and antigen-presenting cell modulator, and AN4005 (a first-in-class oral small-molecule PD-L1 inhibitor), are designed to activate cancer immunity in novel ways.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Our pipeline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advancing a robust pipeline of innovative drug candidates in various stages of development. The following chart provides an overview of the status of our drug candidates: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caps w:val="false"/>
          <w:smallCaps w:val="false"/>
          <w:bdr w:val="single" w:sz="12" w:space="1" w:color="000000"/>
        </w:rPr>
        <w:drawing>
          <wp:inline distT="0" distB="0" distL="0" distR="0">
            <wp:extent cx="5715000" cy="2952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29527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AN9025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AN9025 is an oral small molecule pan-RAS(ON) inhibitor with best-in-class potential, designed to target a broad spectrum of RAS mutations across various tumor types. Preclinical studies have demonstrated that AN9025 effectively inhibits RAS-mutant cancers with potent and durable efficacy, including pancreatic, lung, and colorectal adenocarcinomas, and shows comparable or superior results relative to a benchmark agent of the same class. The clinical phase I study of AN9025 is currently ongoing.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AN4035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AN4035 is a proprietary CEACAM5-targeting antibody drug conjugate (ADC) designed to deliver potent anti-tumor activity with an improved therapeutic window. It is armed with highly potent pan-RAS(ON) inhibitor payload, which effectively target a broad spectrum of CEACAM5-expressing, RAS-driven cancers. We expect to submit IND in the middle of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AN8025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AN8025 is a next-generation tri-specific antibody fusion protein derived from an approved αPD-L1 antibody and fused with functionally optimized CD86 variant and LAG3 variant. Designed to modulate T cell and antigen-presenting cell (APC) functions, preclinical studies have demonstrated that AN8025 enhances both the quantity and quality of APCs while also inducing robust PD-L1-dependent T cell activation and anti-tumor efficacy in vivo. The clinical phase I study of AN8025 is currently ongoing.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AN4005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AN4005 is an orally available, small-molecule PD-L1 inhibitor that demonstrates antitumor activity by the blockade of PD-1/PD-L1 interaction. Preliminary results from the Dose-Escalation Phase, presented at SITC 2024, demonstrated that AN4005 exhibits favorable safety and tolerability in patients with advanced tumors. Encouraging preliminary efficacy was observed in a tumor type known to respond to anti-PD-(L)1 therapy. The trial has now advanced to the Expansion Phase, evaluating two doses of AN4005 in checkpoint inhibitor-naïve patients. Proof-of-concept data from the Expansion Phase is expected to be presented in a conference in 2026.</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AN0025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AN0025 is a small molecule EP4 antagonist designed to modulate the tumor microenvironment. In the phase Ib study of preoperative AN0025 and radiotherapy/chemoradiotherapy combination in rectum cancer, preliminary efficacy results (20% clinical complete response (cCR) and 16% pathologic complete response (pCR)) are encouraging. ARTEMIS (Augmenting RadioTherapy in REctal Cancer to Minimise Invasive Surgery) phase II study of preoperative AN0025 and radiotherapy/chemoradiotherapy combination in rectum cancer is ongoing. The futility analysis of this Phase 2 study was passed in March 2026 and the topline results are expected in the first half of 2027.</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Our company history and team</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rebranded in 2016 as Adlai Nortye Biopharma and began development activities focusing on the discovery and development of innovative cancer therapies, after originally incorporating in 2004. We have assembled an experienced management team consisting of successful entrepreneurs and industry veterans.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founder, chief executive officer, and chairman of our board of directors, Mr. Yang Lu is a successful entrepreneur who brings expertise across the domains of business development, operations, and management. Our president and head of research and development, Dr. Archie Tse, previously served as the Chief Scientific Officer, Senior Vice President, Head of Research and Early Clinical Development, and Head of CMC Department of CStone Pharmaceuticals. Before that, Dr. Tse held leadership positions in multinational companies, including MSD and Daiichi-Sankyo.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our inception, we have received strong support from our shareholders, including financial investors as well as several industry-leading strategic investors. This investor base is, and we expect will continue to be, aligned with our vision and strategy going forward.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differentiated oncology portfolio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AN9025: An Oral Small-Molecule Pan-RAS(ON) Inhibitor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AN9025 is an oral small molecule pan-RAS(ON) inhibitor designed to address a broad range of RAS mutations across multiple tumor types. The clinical phase I study of AN9025 is currently ongoing.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AN9025 demonstrates superior potency compared to a clinical benchmark pan-RAS(ON) inhibitor sharing the same mechanism of action, driving potent and broad-spectrum anti-tumor activity in both in vitro and in vivo models.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15000" cy="2600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60032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15000" cy="485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4857750"/>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AN4035: A Novel CEACAM5 Pan-RAS(ON) ADC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AN4035 is a proprietary CEACAM5-targeting antibody drug conjugate (ADC) designed to deliver potent anti-tumor activity with an improved therapeutic window. We expect to submit IND in the middle of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15000" cy="2676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2676525"/>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AN4035 targets CEACAM5, an antigen highly overexpressed in lung, pancreatic, and colorectal cancers—tumor types that frequently harbor RAS mutations. AN4035 has a homogeneous DAR 8 and shows excellent DAR stability over human plasma.</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AN4035 demonstrates potent, nanomolar to picomolar cytotoxicity across a broad panel of RAS-addicted, CEACAM5-positive cancer cell lines. In addition, AN4035 also exhibits a robust bystander effect in multiple RAS-addicted, CEACAM5-positive cancer cell lines.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AN4035 demonstrated robust anti-tumor activity in multiple CDX and PDX models.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15000" cy="4667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46672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15000" cy="1543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1543050"/>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AN8025: A Potential First-in-Class, Multi-Functional T Cell/APC Modulator</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AN8025 emerges as a tri-specific antibody fusion protein derived from a clinically validated and approved αPD-L1 antibody, fused with functionally optimized CD86 variant (CD86v) and LAG3 variant (LAG3v) on its C- and N-terminus of heavy chain, respectively. AN8025 leverages the LAG3 component to stimulate the differentiation and maturation of antigen-presenting cells (APCs), while the CD86 and αPD-L1 components synergistically amplify tumor-specific T cell responses. Together, these actions orchestrate a multifaceted enhancement of immune function. The clinical phase I study of AN8025 is currently ongoing.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524500" cy="3571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24500" cy="3571875"/>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vitro, we demonstrated that AN8025 improved the quantity and quality of APCs, compared to an aPD-L1 mAb.</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048250" cy="1638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48250" cy="163830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also demonstrated that AN8025 induced stronger T Cell response than an aPD-L1 mAb and displays PD-L1-dependent T-cell activation. Additionally, this elevated T cell activation is not observed in human primary T cells, where PD-L1 levels are relatively low, unlike the unconditional activation of T cells by the CD28 super-agonist.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caps w:val="false"/>
          <w:smallCaps w:val="false"/>
          <w:bdr w:val="single" w:sz="12" w:space="1" w:color="000000"/>
        </w:rPr>
        <w:drawing>
          <wp:inline distT="0" distB="0" distL="0" distR="0">
            <wp:extent cx="5524500" cy="1628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24500" cy="1628775"/>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we demonstrated that AN8025 displayed potent antitumor efficacy in syngeneic and humanized mouse tumor models.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133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191250" cy="133350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Other Pipelines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AN4005: Orally Available, Small-Molecule PD-L1 Inhibitor</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AN4005, a drug candidate discovered in-house, is an oral small-molecule PD-L1 inhibitor designed to disrupt the interaction between PD-1 and PD-L1.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AN4005X0101 (NCT04999384) is a Phase I, multi-center, open-label clinical trial study in patients with advanced solid tumors. A traditional ‘3+3’ design was employed for dose escalation, with sentinel patients enrolled at the starting dose of 50 mg BID. As of 14 October 2024, 25 patients with advanced solid tumors in the U.S. and China received AN4005 across six tested dose levels (50 mg BID to 1000 mg QD).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AN4005 was well-tolerated with 20 (80%) patients experienced at least one AN4005-related AE, two (8%) patients experienced Grade 3 AN4005-related AE. No Grade 4 or 5 AN4005-related AEs were observed. 8 (32%) patients experienced 15 serious adverse events (SAEs); 1 (4%) patient experienced 1 SAE assessed by investigator as related to AN4005. Immune-related AEs were reported in two patients (8.3%) and manageable. No patients experienced AEs leading to dose reduction of AN4005. 9 (36%) patients experienced at least 1 AE leading to dose interruption of AN4005. 4 (16%) patients had AE that led to discontinuation of AN4005. No dose-limiting toxicities were observed and the MTD was not reached.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Overall disease control rate was 41.7% (10/24). One patient with high microsatellite instability (MSI-H) colorectal cancer treated at 300 mg QD had a confirmed complete response. Notably, this patient had responded to two prior anti-PD-(L)1 mAbs but was unable to continue intravenous therapy due to the COVID-19 pandemic, highlighting the value of an oral PD-L1 inhibitor. Following the completion of the Dose-Escalation Phase and a preliminary food-effect cohort, the trial has now advanced to the Expansion Phase, evaluating two doses of AN4005 in checkpoint inhibitor-naïve patients. Proof-of-concept data from the Expansion Phase is expected to be presented in a conference in second half of 2026.</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AN0025: a tumor microenvironment modulator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AN0025, in-licensed from Eisai, is a small molecule EP4 antagonist designed to modulate the tumor microenvironment. It is designed to block the prostaglandin E2 (“PGE2”)-EP4 signaling pathway to inhibit PGE2-mediated immunosuppression in cancer patients. The development strategy for AN0025 has been adjusted to focus on its use as a chemoradiation modulator. Our approach relies on investigator-initiated studies to generate proof-of-concept (“PoC”) data in a cost-effective manner, with an emphasis on locally advanced rectal cancer and esophageal cancer. This strategic shift aims to optimize resource allocation while advancing clinical validation in key tumor types.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ARTEMIS is a randomized phase II trial for patients with moderate to high-risk rectal cancer where pre-operative chemo-RT is a standard treatment option and suitable for organ preservation. Patients are randomized 1:1 between 1) standard of care long-course chemo-RT (LCCRT) or short-course chemo-RT (SCCRT) based on clinician choice, and 2) standard of care LCCRT or SCCRT based on clinician choice, with the addition of immunotherapy agent AN0025. Both arms will also receive total neoadjuvant treatment (TNT) in the form of FOLFOX or CAPOX, based on clinician choice. The primary endpoint is Clinical Complete Response rate at 6 months post start of radiotherapy. A total of 140 patients will be randomized. The futility analysis of this Phase 2 study was passed in March 2026 and the topline results are expected in the first half of 2027.</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Research and development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that R&amp;D is key to driving our therapeutic strategy and maintaining our competitiveness in the biopharmaceutical industry. Our in-house research and development function had 75 members with extensive drug discovery and development experience as of December 31, 2025. Around 84% of our research and development team members have master or doctorate degrees in biology or chemistry related majors. Leveraging our strong research and development capabilities, we have developed a pipeline with significant potential.</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Competition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pharmaceutical and biopharmaceutical industries are highly competitive and subject to rapid and significant change. While we believe that our pipeline of innovative drug candidates in clinical and preclinical trials, strong R&amp;D capability, integrated platform and cohesive leadership team provide us with competitive advantages, we face potential competition from many different sources working to develop therapies targeting the same indications against which we develop our drug candidates, in particular in the RAS-targeting therapies. These include major pharmaceutical companies as well as specialty pharmaceutical and biotechnology companies, academic institutions, government agencies, and research institutions. Any drug candidates that we successfully develop and commercialize will compete with existing drugs and with any new drugs that may become available in the future.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i w:val="false"/>
          <w:caps w:val="false"/>
          <w:smallCaps w:val="false"/>
          <w:sz w:val="20"/>
          <w:bdr w:val="single" w:sz="12" w:space="1" w:color="000000"/>
        </w:rPr>
        <w:t>License and collaboration agreements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Collaboration with ASK Pharm</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29, 2025, we entered into a collaboration agreement with ASK Pharm, a research-based pharmaceutical enterprise established in 2003, specializing in digestive disease, multidrug resistant infection, oncology and chronic disease areas, with respect to proprietary pan-RAS (ON) inhibitor AN9025.</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terms of the agreement, ASK Pharm will obtain exclusive rights to develop, manufacture, and commercialize AN9025 in mainland China, Hong Kong and Macao (the “Licensed Territory”). Adlai Nortye will retain worldwide rights to the compound excluding the Licensed Territory. Adlai Nortye is eligible to receive total consideration of up to RMB 1.6 billion (approximately USD 230 million), including an upfront payment and near-term milestone payments exceeding USD 20 million, plus tiered royalties ranging from a high single-digit to mid-teens percentage of net product sales in the Licensed Territory.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Collaboration with Biotime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15, 2021, we entered into a collaboration agreement with Xiamen Biotime Biotechnology Co. Ltd (“Biotime”), a biotechnology company established in 2008, focusing on the R&amp;D, manufacturing, and commercialization of in vitro diagnostic devices and reagents, with respect to five products, namely our drug candidates AN4005 and AN3025, and three other early-stage programs not included in our pipeline. Under this agreement, we assigned to Biotime a list of patents and related research material, know-how, and research results generated through studies of the five products to engage in preclinical and clinical development, registration, manufacturing, and commercialization of (a) AN4005 and AN3025 in China, and (b) three early-stage programs globally.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this agreement, Biotime is obligated to pay an aggregated down payment of up to RMB295.0 million (approximately US$46.0 million, based on the conversion rate of RMB6.4508 to US$1.00, which was the average daily exchange rate for the year ended December 31, 2021) in relation to the patents, patent applications, know-how, data, and information of the five products. Biotime also agreed to make milestone payments in the aggregate amount of RMB835.0 million (approximately US$129.0 million, based on the conversion rate of RMB6.4508 to US$1.00, which was the average daily exchange rate for the year ended December 31, 2021) conditioned upon the achievement of certain development and sales targets. Additionally, Biotime also agrees to make payments at remuneration rates ranging from mid-single digits to mid-teens depending on the net sales of the products. Biotime has made down payments totaling RMB295.0 million (approximately US$46.0 million) to us.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terminated earlier, the term of the agreement will continue in full force and effect. Each party enjoys customary termination rights such as the right to terminate for the other party’s material breach. Specifically, Biotime is entitled to suspend performance of the agreement or terminate the agreement if we make any materially false or misleading statement that causes Biotime to not be able to perform its obligations under the agreement.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Collaboration with WuXi Biologics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6, 2021, we entered into a worldwide license agreement with WuXi Biologics Ireland Limited (“WuXi Biologics”), pursuant to which WuXi Biologics granted us a non-exclusive license to certain of its proprietary anti-PD-L1 monoclonal antibody-related technologies. Under the agreement, we are entitled to use the licensed technology to research, develop, manufacture and commercialize products comprising multi-functional antibodies generated based on such technology within the field of prevention, diagnosis and/or treatment of human diseases or conditions worldwide.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terms of the agreement, WuXi Biologics is entitled to receive an upfront payment and is eligible to receive up to $86.75 million in aggregate development, regulatory and commercial milestone payments, as well as tiered royalties ranging from the low- to mid-single-digit percentage on net sales of licensed products.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Collaboration with Eisai</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January 2018, we entered into a license agreement (the “Eisai Agreement”) with Eisai Co, Ltd. (“Eisai”), concerning the products containing the compound formerly referred to as E7046 (renamed as AN0025), an EP4 antagonist, including its therapeutically-active metabolites and prodrugs (the “Eisai Licensed Products”). Pursuant to the Eisai Agreement, we obtained exclusive, sub-licensable rights and license to research, develop, manufacture, and commercialize the Eisai Licensed Products in any and all preventative, therapeutic, and/or diagnostic uses in human (the “Eisai Licensed Field”), worldwide excluding Japan, Korea, Taiwan, Thailand, India, Philippines, Indonesia, Singapore, Malaysia, Vietnam, Myanmar, Laos, and Cambodia (the “Eisai Licensed Territory”). In addition, Eisai obtained exclusive, sub-licensable rights and license under our technology invented or created under this agreement to research, develop, manufacture, and commercialize the Eisai Licensed Products outside the Eisai Licensed Territory.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Eisai Agreement, we will be solely responsible for the development of Eisai Licensed Products in the Eisai Licensed Field in the Eisai Licensed Territory, and shall use commercially reasonable efforts to complete the Development Plan (as defined below) and submit for regulatory approval in specified major countries. We have formulated a high-level development plan for AN0025 towards regulatory approval (the “Development Plan”) which was included as part of the Eisai Agreement. According to the Development Plan, (i) after analysis of available clinical data from the Phase I study (monotherapy and combination with chemo-radiotherapy), we can move to multiple, small scale Phase I/II studies in the U.S. to evaluate new combination therapies in ICI sensitive tumor types; (ii) we can also conduct novel study design to combine the molecule with anti-PD-1 in both PD-1 naïve and PD-1 failed patient populations; (iii) we can have early interaction with health authorities to help future registration study design and work closely with experienced KOLs to identify potential registration opportunities. Our recent development plan of AN0025 was in line with the Development Plan under the Eisai Agreement. We will bear all the costs and expenses associated with the development of the Eisai Licensed Products. In addition, we are solely responsible for sourcing the manufacturing and supplying of, and all commercialization activities for the Eisai Licensed Products in the Eisai Licensed Territory. Eisai is obliged to provide reasonable assistance to facilitate the transfer of development, manufacturing, and commercialization responsibilities to us as we request.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Eisai Agreement, Eisai and we have established a joint development committee (the “JDC”) to implement and oversee the development activities in the Eisai Licensed Field in the Eisai Licensed Territory and to serve as a forum for exchanging data, information and strategy regarding the Eisai Licensed Products. The JDC has equal representation from each party with a chairperson designated by us, and it shall take actions by simple majority vote with each representative having one vote. If the JDC cannot reach agreement on a matter within a specified period, such matter should be elevated to C-level executive officers of both parties; if such matter is still unresolved within a specified period after the elevation, the chairperson designated by us shall have the controlling vote unless such matter involves an amendment of the Development Plan. In accordance with the Eisai Agreement, neither us nor Eisai is allowed to directly or indirectly make, market, promote, sell, offer for sale, import, export, or commercialize any competitive product in the Eisai Licensed Field, or in-license or otherwise acquire any competitive product in the Eisai Licensed Field in the Eisai Licensed Territory.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period of time commencing with enrollment of the first five patients in a Phase III clinical trial for the Eisai Licensed Products pursuant to the Development Plan and ending 90 days following the completing of such Phase III clinical trial, Eisai has the option, by written notice, to notify us that it is interested in re-acquiring the rights to develop, manufacture, and commercialize the Eisai Licensed Products in the Eisai Licensed Territory. Upon receipt of the notice, we will negotiate with Eisai on an exclusive basis for up to 90 days in good faith with regard to the terms of Eisai’s exercising of its option at a fair market value.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accordance with the terms of the Eisai Agreement, Eisai would be eligible to receive a series of payments from us, comprising an upfront payment, milestone payments, royalty payments, and, if any, sublicense remuneration payments. In terms of the upfront payment, we shall pay to Eisai an amount up to US$6.0 million, and such amount has been paid by us in May and June 2018. Moreover, under the Eisai Agreement, we are obliged to pay to Eisai milestone payments up to an aggregate amount of approximately US$367 million upon (i) the first achievement of the net sales target of Eisai Licensed Products in a rolling 12-month period; and (ii) the achievement of development milestones, including dosing of the first patient in various clinical trial stages for Eisai Licensed Products, submission of NDA or marketing authorization applications and receipt of regulatory approval for various indications. As of August 31, 2022, we had made milestone payments of US$4.0 million.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Eisai Agreement, during the applicable royalty term, we will also pay royalties based on annual net sales of Eisai Licensed Products in the Eisai Licensed Territory at progressive rates ranging from low-teens to high-teens. Currently, we do not owe any royalty payments to Eisai. The royalty term continues on a country- by-country and product-by-product basis with each such royalty term commencing on the first commercial sale in such country until the latest of (i) expiration of the last-to-expire licensed patent that contains a valid claim in such country, (ii) the tenth anniversary of the date of first commercial sale of such Eisai Licensed Product in such country, or (iii) expiration of regulatory exclusivity for such Eisai Licensed Product in such country, provided that with respect to an Eisai Licensed Product being commercialized in certain major countries, the royalty term shall continue in all these countries until expiration of the last-to-expire licensed patent that contains a valid claim in these countries.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under the Eisai Agreement, if we sublicense our rights and license to a third party, we shall pay to Eisai sublicense remuneration payments at remuneration rates ranging from low-teens to mid-twenties depending on the sublicense conclusion dates. Currently, we do not owe any sublicense remuneration payments to Eisai.</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terminated earlier, the Eisai Agreement will continue in full force and effect on a product-by- product and country-by-country basis until (i) the expiration of the royalty term in a country if a product is commercialized within 15 years of the date of the Eisai Agreement, or (ii) the 15th anniversary of this Eisai Agreement if there has not been a first commercial sale of a product in a country within 15 years of the date of the Eisai Agreement. After expiration of the Eisai Agreement, on a product-by-product, country-by- country basis, the rights and licenses granted to us or Eisai thereunder will become irrevocable, non-exclusive, royalty-free, fully paid-up, and non-terminable. The Eisai Agreement can be early terminated by either party because of the other party’s uncured material breach, bankruptcy-related events, or proceedings, or patent challenge. We may terminate this agreement if competent regulatory authority in certain major countries decides to preclude clinical use of the Eisai Licensed Products on grounds of safety. This agreement may also be terminated by Eisai if we do not use commercially reasonable efforts to perform our obligations as per the Development Plan and achieve regulatory and commercial milestones under the Eisai Agreement and the JDC fails to resolve such issue.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Intellectual property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Intellectual property, including patents, trade secrets, trademarks, and copyrights, is critical to our business. Our future commercial success depends, in part, on our ability to obtain and maintain patent and other intellectual property and proprietary protections for commercially important technologies, inventions, and know-how related to our business; defend and enforce our patents; preserve the confidentiality of our trade secrets; and operate without infringing, misappropriating, or otherwise violating the valid, enforceable intellectual property rights of third parties.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 global portfolio of patents to protect our drug candidates and technologies. As of December 31, 2025, we owned or had exclusive license rights to (i) 98 granted patents and 118 pending patent applications in jurisdictions such as the U.S., EPO, mainland China, Japan, South Korea, Canada, Australia, Taiwan, Mexico, and Brazil, and (ii) 14 patent applications under the PCT that has not been nationalized.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patent portfolios for our clinical stage lead product and other products as of December 31, 2025 are summarized below: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AN8025</w:t>
            </w:r>
            <w:r>
              <w:rPr>
                <w:rFonts w:ascii="Times New Roman;Times;Serif" w:hAnsi="Times New Roman;Times;Serif"/>
                <w:sz w:val="20"/>
              </w:rPr>
              <w:t>: As of December 31, 2025, we held 17 pending patent applications directed to AN8025 compound, including in the U.S., EPO, China, Japan, South Korea, Canada and Australia. The expiration date is expected to be 2043, without taking into account of any patent term extensions.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AN9025</w:t>
            </w:r>
            <w:r>
              <w:rPr>
                <w:rFonts w:ascii="Times New Roman;Times;Serif" w:hAnsi="Times New Roman;Times;Serif"/>
                <w:sz w:val="20"/>
              </w:rPr>
              <w:t>: As of December 31, 2025, we held 3 pending patent applications directed to AN9025 compound, including one in China, one in Taiwan, and one PCT application that we plan to nationalize the PCT application in main jurisdictions such as the U.S., EPO, China, Japan, South Korea, Canada and Australia, etc. before the deadline. The expiration date is expected to be 2045, without taking into account of any patent term extensions.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AN4005</w:t>
            </w:r>
            <w:r>
              <w:rPr>
                <w:rFonts w:ascii="Times New Roman;Times;Serif" w:hAnsi="Times New Roman;Times;Serif"/>
                <w:sz w:val="20"/>
              </w:rPr>
              <w:t>: As of December 31, 2025, we held 7 granted patents, including in Japan, Australia, Mexico and Brazil, and 10 pending patent applications in jurisdictions including the U.S., EPO, Canada, New Zealand, South Korea, Singapore and Israel. The expiration date is expected to be 2040, without taking into account of any patent term extensions.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AN0025</w:t>
            </w:r>
            <w:r>
              <w:rPr>
                <w:rFonts w:ascii="Times New Roman;Times;Serif" w:hAnsi="Times New Roman;Times;Serif"/>
                <w:sz w:val="20"/>
              </w:rPr>
              <w:t>: As of December 31, 2025, we in-licensed 44 granted patents, including four in the U.S., two in EPO, two in China, and 36 in other jurisdictions, including Canada and Australia, and one pending patent applications directed to AN0025. The expected expiration date of granted patents directed to the potential approved use of the compound is 2036, taking into account of the possible 5-year patent term extensions in jurisdictions where patent term extension is available, including but not limited to the U.S., Europe, and China. The term of patent extension in each jurisdiction is estimated based on the patent filing date, the patent grant date, the IND enabling date, the estimated NDA date, and FDA/EMA/NMPA approval date according to relevant regulations in each jurisdiction. Further to the in-licensed patents, we also filed one PCT patent applications directed to a new formulation of AN0025 which has been nationalized in 19 countries/territories including United States, EPO, Mainland China,  Japan, South Korean, Canada, Australia and Mexico.</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135" w:type="dxa"/>
        <w:jc w:val="left"/>
        <w:tblInd w:w="0" w:type="dxa"/>
        <w:tblLayout w:type="fixed"/>
        <w:tblCellMar>
          <w:top w:w="0" w:type="dxa"/>
          <w:left w:w="0" w:type="dxa"/>
          <w:bottom w:w="28" w:type="dxa"/>
          <w:right w:w="0" w:type="dxa"/>
        </w:tblCellMar>
      </w:tblPr>
      <w:tblGrid>
        <w:gridCol w:w="725"/>
        <w:gridCol w:w="60"/>
        <w:gridCol w:w="1925"/>
        <w:gridCol w:w="60"/>
        <w:gridCol w:w="1400"/>
        <w:gridCol w:w="60"/>
        <w:gridCol w:w="725"/>
        <w:gridCol w:w="60"/>
        <w:gridCol w:w="875"/>
        <w:gridCol w:w="60"/>
        <w:gridCol w:w="1160"/>
        <w:gridCol w:w="60"/>
        <w:gridCol w:w="96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Scope of patent</w:t>
              <w:br/>
              <w:t>protection</w:t>
            </w:r>
          </w:p>
        </w:tc>
        <w:tc>
          <w:tcPr>
            <w:tcW w:w="60" w:type="dxa"/>
            <w:tcBorders/>
            <w:tcMar>
              <w:bottom w:w="0" w:type="dxa"/>
            </w:tcMar>
            <w:vAlign w:val="center"/>
          </w:tcPr>
          <w:p>
            <w:pPr>
              <w:pStyle w:val="TableContents"/>
              <w:bidi w:val="0"/>
              <w:spacing w:before="0" w:after="283"/>
              <w:jc w:val="center"/>
              <w:rPr/>
            </w:pPr>
            <w:r>
              <w:rPr/>
              <w:t> </w:t>
            </w:r>
          </w:p>
        </w:tc>
        <w:tc>
          <w:tcPr>
            <w:tcW w:w="1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c>
          <w:tcPr>
            <w:tcW w:w="60" w:type="dxa"/>
            <w:tcBorders/>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Applicant</w:t>
            </w:r>
          </w:p>
        </w:tc>
        <w:tc>
          <w:tcPr>
            <w:tcW w:w="60" w:type="dxa"/>
            <w:tcBorders/>
            <w:tcMar>
              <w:bottom w:w="0" w:type="dxa"/>
            </w:tcMar>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Patent</w:t>
              <w:br/>
              <w:t>Expiration</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 Rights</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AN8025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br/>
              <w:t>EPO,</w:t>
              <w:br/>
              <w:t>Mainland China,</w:t>
              <w:br/>
              <w:t>Japan,</w:t>
              <w:br/>
              <w:t>Others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AN9025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PCT </w:t>
              <w:br/>
              <w:t>Mainland China,</w:t>
              <w:br/>
              <w:t>Taiwan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AN4005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Japan</w:t>
              <w:br/>
              <w:t>Australia</w:t>
              <w:br/>
              <w:t>Mexico</w:t>
              <w:br/>
              <w:t>Brazil</w:t>
              <w:br/>
              <w:t>Russia</w:t>
              <w:br/>
              <w:t xml:space="preserve">United States </w:t>
              <w:br/>
              <w:t xml:space="preserve">EPO </w:t>
              <w:br/>
              <w:t>Others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Granted </w:t>
              <w:b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AN0025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formulation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Russia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r>
              <w:rPr>
                <w:rFonts w:ascii="Times New Roman;Times;Serif" w:hAnsi="Times New Roman;Times;Serif"/>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Eisai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Exclusive</w:t>
            </w:r>
          </w:p>
        </w:tc>
      </w:tr>
      <w:tr>
        <w:trPr/>
        <w:tc>
          <w:tcPr>
            <w:tcW w:w="7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combination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Eisai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Exclusive</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compound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AN4005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br/>
              <w:t>EPO,</w:t>
              <w:br/>
              <w:t>Mainland China,</w:t>
              <w:br/>
              <w:t>Japan,</w:t>
              <w:br/>
              <w:t>Taiwan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Abbreviation: PCT = Patent Cooperation Treaty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Notes: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expiration year is estimated based on current filing status, without taking into account any possible patent term adjustments or extensions and assuming payment of all appropriate maintenance, renewal, annuity, and other government fees. Patent term extension is available in certain jurisdictions, such as in the U.S., Europe, and China. The patent term restored under patent term extension is estimated based on various factors in different jurisdictions, and subject to limitations. For example, in the U.S., the maximum extension that can be obtained for a patent is limited to five years, and the total remaining patent term (with PTE) is limited to fourteen years from the date of product approval by the FDA. The patent expiration date in the table is obtained from the commercial database of Patsnap.</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 countries and/or territories, including Canada, Australia, New Zealand, South Korea, and Singapore.</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left"/>
              <w:rPr/>
            </w:pPr>
            <w:r>
              <w:rPr/>
              <w:t> </w:t>
            </w:r>
          </w:p>
        </w:tc>
      </w:tr>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countries and/or territories, including Canada, New Zealand, South Korea, Singapore and Israel.</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left"/>
              <w:rPr/>
            </w:pPr>
            <w:r>
              <w:rPr/>
              <w:t> </w:t>
            </w:r>
          </w:p>
        </w:tc>
      </w:tr>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 other countries including Canada, Australia, New Zealand, South Korea, and Singapore.</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left"/>
              <w:rPr/>
            </w:pPr>
            <w:r>
              <w:rPr/>
              <w:t> </w:t>
            </w:r>
          </w:p>
        </w:tc>
      </w:tr>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countries, including Canada, Brazil, Israel, Russia and Mexico. Patent applications of combination therapy is pending in EPO.</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left"/>
              <w:rPr/>
            </w:pPr>
            <w:r>
              <w:rPr/>
              <w:t> </w:t>
            </w:r>
          </w:p>
        </w:tc>
      </w:tr>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 countries and/or territories, including Canada, New Zealand, and Hong Kong.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term of individual patents may vary based on the jurisdictions in which they are granted. In most jurisdictions in which we file patent applications, including the U.S. and China, the term of an issued patent is generally 20 years from the filing date of the earliest non-provisional patent application to which the patent claims priority. In the United States and China, a patent’s term may be extended or adjusted to account for administrative delays during prosecution by the patent offices, in excess of a patent applicant’s own delays during the prosecution process.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with respect to any issued patents in the U.S., Europe, and China, we may be entitled to an extension of the patent term for up to five years, provided we meet the applicable requirements for obtaining such patent term extensions. For example, in the U.S., we may apply for a patent term extension of up to five years as compensation for the patent term lost during clinical trials and the FDA regulatory review process under the Hatch-Waxman Amendments. The exact duration of the extension depends on the time we spend in clinical studies, as well as getting an NDA or BLA approval from the FDA. However, a patent term extension cannot extend the remaining term of a patent beyond a total of 14 years from the date of product approval. In addition, a patent may only be extended once, and only those claims covering the approved drug, a method for using it, or a method for manufacturing it may be extended. Furthermore, a new chemical entity is granted five years of data exclusivity and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certain other foreign jurisdictions, similar extensions as compensation for regulatory delays are also available.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We conduct our business under the brand name “Adlai Nortye” or “</w:t>
      </w:r>
      <w:r>
        <w:rPr>
          <w:rFonts w:eastAsia="Times New Roman;Times;Serif"/>
          <w:b w:val="false"/>
          <w:i w:val="false"/>
          <w:caps w:val="false"/>
          <w:smallCaps w:val="false"/>
          <w:sz w:val="20"/>
          <w:bdr w:val="single" w:sz="12" w:space="1" w:color="000000"/>
        </w:rPr>
        <w:t>阿諾医药</w:t>
      </w:r>
      <w:r>
        <w:rPr>
          <w:rFonts w:ascii="Times New Roman;Times;Serif" w:hAnsi="Times New Roman;Times;Serif"/>
          <w:b w:val="false"/>
          <w:i w:val="false"/>
          <w:caps w:val="false"/>
          <w:smallCaps w:val="false"/>
          <w:sz w:val="20"/>
          <w:bdr w:val="single" w:sz="12" w:space="1" w:color="000000"/>
        </w:rPr>
        <w:t>.” As of December 31, 2025, we had registered 88 trademarks in total. Among them, we registered 21 “Adlai Nortye” or “</w:t>
      </w:r>
      <w:r>
        <w:rPr>
          <w:rFonts w:eastAsia="Times New Roman;Times;Serif"/>
          <w:b w:val="false"/>
          <w:i w:val="false"/>
          <w:caps w:val="false"/>
          <w:smallCaps w:val="false"/>
          <w:sz w:val="20"/>
          <w:bdr w:val="single" w:sz="12" w:space="1" w:color="000000"/>
        </w:rPr>
        <w:t xml:space="preserve">阿諾医药” </w:t>
      </w:r>
      <w:r>
        <w:rPr>
          <w:rFonts w:ascii="Times New Roman;Times;Serif" w:hAnsi="Times New Roman;Times;Serif"/>
          <w:b w:val="false"/>
          <w:i w:val="false"/>
          <w:caps w:val="false"/>
          <w:smallCaps w:val="false"/>
          <w:sz w:val="20"/>
          <w:bdr w:val="single" w:sz="12" w:space="1" w:color="000000"/>
        </w:rPr>
        <w:t>trademarks in mainland China, five in Hong Kong, one in Macau, one in Taiwan. We had also registered the “Adlai Nortye” in other twelve jurisdictions including the U.S., Canada, Europe, U.K., Australia, Japan, and South Korea, all of which have been successfully registered. As of December 31, 2025, we were also the registered owner of one domain name.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license and collaboration agreements we entered into with our collaborators, we were granted certain exclusive licenses to develop and commercialize our drug candidates, including AN0025. For more details, please see the paragraphs headed “— License and collaboration agreements” in this section.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December 31, 2025, we had not been involved in any proceedings in respect of, and we had not received notice of any claims of infringement, misappropriation, or other violations of third-party intellectual property and we are not involved in any proceedings in respect of any intellectual property rights that may be threatened or pending and that may have an influence on its research and development for any drug candidates in which we may be a claimant or a respondent.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Manufacturing and supply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CMC capability includes the following functions: (i) chemical process: our chemical process team focuses on developing and synthesizing active pharmaceutical ingredient (“API”), expediting scale up of compound for early developmental activities in drug safety and pharmaceutical sciences, and fulfilling in a timely and efficient manner the requests for drug substance supply to support preclinical and clinical studies; (ii)formulation development: our formulation development team focuses on developing dosage forms of toxicology evaluations and preclinical and clinical trials, evaluating the physicochemical properties and bioavailability of compounds; (iii) analytical sciences: our analytical science team implements a science- driven, clinical and commercial production oriented approach to the development and application of both classic and state-of-the-art analytical techniques and tools throughout the life cycle of each of our drug candidates, including but not limited to development and validation of analytical methods for API and drug product, technical transfer of process and analytical methods, establishment of specifications, testing and releasing of each batch of API and drug products to be used in preclinical and clinical studies; and (iv) quality control and assurance: with well-documented and comprehensive quality system, the quality control and assurance team is responsible for testing and verifying the product quality with predefined standards in effort to assure the quality of all the batches, manufactured at every stage of manufacturing/processing API and drug products.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Manufacturing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currently work with qualified CMOs to manufacture and test drug candidates for preclinical and clinical supply. In the near future, we plan to continue outsourcing the manufacturing of our drug candidates, including commercial-scale manufacturing of any approved drugs, to industry-leading, highly reputable, and qualified CMOs/CDMOs globally and in China. We have adopted, and plan to continue to implement, robust procedures in effort to ensure that the production qualifications, facilities, and processes of our CMOs/ CDMOs comply with the applicable regulatory requirements and our internal guidelines and quality standards.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also engage additional qualified CMOs/CDMOs in the future to help ensure that we will have sufficient supply of drug candidates for our clinical trials as well as for the commercial sales of our approved drugs. When selecting CMOs/CDMOs, we plan to focus on their qualifications, relevant expertise, production capacity, reputation, track record, product quality, and production cost.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Raw materials and suppliers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purchase raw materials and equipment for the development of our drug candidates from qualified suppliers. We also work with qualified CROs and CMOs to manage and conduct preclinical and clinical studies and of our pipeline candidates, as well as the manufacturing activities, in China and the United States. Our purchases mainly include licensor, third-party contracting services for research and development of our drug candidates, and manufacturing of certain drug substances for clinical supply, as well as raw materials, consumables, machines,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believe that adequate alternative sources for such supplies exist and we have developed alternative sourcing strategies for these supplies. We intend to establish necessary relationships with alternative sources based on supply continuity risk assessment. Other than the agreements with certain CROs, we order supplies and services on a purchase order basis and do not enter into long-term dedicated capacity or minimum supply arrangements.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February 2026 Private Placement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 2026 and February 2, 2026, we entered into securities purchase agreements with certain investors, pursuant to which the Company agreed to sell and issue in a private investment in public equity financing (the “February 2026 Private Placement”) an aggregate of 64,615,386 Class A ordinary shares of the Company (equivalent of 21,538,462 American Depositary Shares, each representing 3 Class A ordinary shares), at a price of $2.1667 per Class A ordinary shares (equivalent of $6.50 per ADS), for aggregate gross proceeds of approximately $140.0 million.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April 2026 Private Placement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16, 2026, we entered into securities purchase agreements with certain investors, pursuant to which the Company agreed to sell and issue in a private investment in public equity financing (the “April 2026 Private Placement”) an aggregate of 33,962,241 Class A ordinary shares of the Company (equivalent of 11,320,747 American Depositary Shares, each representing 3 Class A ordinary shares), at a price of $4.4167 per Class A ordinary shares (equivalent of $13.25 per ADS), for aggregate gross proceeds of approximately $150.0 million.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w:t>
      </w:r>
    </w:p>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pursuant to the Jumpstart Our Business Startups Act of 2012,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remain an emerging growth company until the earliest of (a) the last day of the fiscal year during which we have total annual gross revenues of at least US$1.235 billion; (b) the last day of our fiscal year following the fifth anniversary of the completion of the initial public offering pursuant to an effective registration statement under the Securities Act;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 Status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as frequently, as a domestic public company;</w:t>
            </w:r>
          </w:p>
        </w:tc>
      </w:tr>
    </w:tbl>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bl>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bl>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bl>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bl>
    <w:p>
      <w:pPr>
        <w:pStyle w:val="TextBody"/>
        <w:bidi w:val="0"/>
        <w:spacing w:before="0" w:after="0"/>
        <w:ind w:left="96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Nasdaq listing rules provide that a foreign private issuer may follow the practices of its home country, which for us is Singapore, rather than the Nasdaq rules as to certain corporate governance requirements, including the requirement that the issuer have a majority of independent directors, the audit committee, compensation committee, and nominating and corporate governance committee requirements, the requirement to disclose third-party director and nominee compensation, and the requirement to distribute annual and interim reports.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Although we do not currently intend to take advantage of these exceptions to the Nasdaq corporate governance rules, we may in the future take advantage of one or more of these exemptions.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commenced our business in mainland China in 2004 through Adlai Nortye Biopharma Co., Ltd., which we refer to as our operating subsidiary in the PRC. We initially focused primarily on generic pharmaceuticals and polypeptide intermediate, until 2016 when our founders, Mr. Yang Lu and Mr. Donghui Yang, led our strategic transition to become a R&amp;D-driven pharmaceutical company, focusing on the discovery and development of innovative cancer therapies.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ultimate holding company was initially incorporated in the Cayman Islands in May 2018 to facilitate offshore financing activities, and our daily operations are conducted primarily through our operating subsidiaries in the United States and mainland China. Between January 2018 and June 2022, Alpine Bioscience Ltd, Adlai Nortye Pte. Ltd., Adlai Nortye (HK) Limited, and Adlai Nortye (Switzerland) AG were incorporated in the British Virgin Islands, Singapore, Hong Kong, and Switzerland as our intermediary holding entities. In March 2019, Adlai Nortye (HK) Limited acquired entire equity interests in Adlai Nortye Biopharma Co., Ltd. from its then shareholders and Adlai Nortye Biopharma Co., Ltd. became a wholly owned subsidiary of our ultimate holding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order to conduct clinical trials in the U.S., Adlai Nortye USA INC was incorporated under the laws of the State of Delaware in the U.S. in January 2018. In June 2022, as a part of a reorganization, Adlai Nortye (Switzerland) AG acquired all its shares and Adlai Nortye USA INC become a wholly owned subsidiary of our ultimate holding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Effective July 29, 2026, our ultimate holding company changed its jurisdiction of incorporation from the Cayman Islands to Singapore through a transaction known as a continuation pursuant to Article 171 of the Articles of Association of the Company in force at that time and registered by way of continuation as a public company limited by shares in Singapore by way of transfer of registration under Part 10A of the Companies Act 1967 of Singapore (the “Continuation”) and changed its legal English name from Adlai Nortye Ltd. to Adlai Nortye Group Ltd.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address of our registered office in Singapore and our principal executive office is at 77 Robinson Road, #20-01, Robinson 77, Singapore 068896. Our telephone number is +1 848-230-7430. The United States and China are two important markets and locations for our operations. In addition to our principal executive office in Singapore, we also have two regional headquarters at (i) New Jersey Biotechnology Development Center, 685 US Hwy 1, 2nd floor, North Brunswick Township, NJ 08902, the United States and (ii) Building 6 &amp; 8, 1008 Xiangwang Street, Yuhang District, Hangzhou, Zhejiang, the People’s Republic of China. Service of process in the United States can be delivered to us at Adlai Nortye USA Inc. 685 US Highway 1, North Brunswick Township, NJ 08902, telephone: +1 848 230 7430.</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In September 2023, we became a publicly traded company on the Nasdaq under the symbol “ANL.” Our reports filed with or furnished to the SEC are available on our website at </w:t>
      </w:r>
      <w:r>
        <w:rPr>
          <w:rFonts w:ascii="Times New Roman;Times;Serif" w:hAnsi="Times New Roman;Times;Serif"/>
          <w:b w:val="false"/>
          <w:i/>
          <w:caps w:val="false"/>
          <w:smallCaps w:val="false"/>
          <w:sz w:val="20"/>
          <w:bdr w:val="single" w:sz="12" w:space="5" w:color="000000"/>
        </w:rPr>
        <w:t>https://www.adlainortye.com</w:t>
      </w:r>
      <w:r>
        <w:rPr>
          <w:rFonts w:ascii="Times New Roman;Times;Serif" w:hAnsi="Times New Roman;Times;Serif"/>
          <w:b w:val="false"/>
          <w:i w:val="false"/>
          <w:caps w:val="false"/>
          <w:smallCaps w:val="false"/>
          <w:sz w:val="20"/>
          <w:bdr w:val="single" w:sz="12" w:space="5" w:color="000000"/>
        </w:rPr>
        <w:t xml:space="preserve"> as soon as reasonably practicable after we electronically file such material with, or furnish it to, the SEC. The information contained on our websites is not a part of this annual report. The SEC maintains a website at </w:t>
      </w:r>
      <w:r>
        <w:rPr>
          <w:rFonts w:ascii="Times New Roman;Times;Serif" w:hAnsi="Times New Roman;Times;Serif"/>
          <w:b w:val="false"/>
          <w:i/>
          <w:caps w:val="false"/>
          <w:smallCaps w:val="false"/>
          <w:sz w:val="20"/>
          <w:bdr w:val="single" w:sz="12" w:space="5" w:color="000000"/>
        </w:rPr>
        <w:t>http://www.sec.gov</w:t>
      </w:r>
      <w:r>
        <w:rPr>
          <w:rFonts w:ascii="Times New Roman;Times;Serif" w:hAnsi="Times New Roman;Times;Serif"/>
          <w:b w:val="false"/>
          <w:i w:val="false"/>
          <w:caps w:val="false"/>
          <w:smallCaps w:val="false"/>
          <w:sz w:val="20"/>
          <w:bdr w:val="single" w:sz="12" w:space="5" w:color="000000"/>
        </w:rPr>
        <w:t xml:space="preserve"> that contains reports and other information regarding us and other companies that file materials with the SEC electronically.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risks described under “Risk Factors” in the applicable prospectus supplement and under the heading “Item 3. Key Information—3.D. Risk Factors” in our annual report on Form 20-F for the fiscal year ended December 31, 2025, or any updates in our reports on Form 6-K, together with all of the other information appearing in, or incorporated by reference into, under the Exchange Act that are incorporated herein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the sections of this prospectus entitled “Where You Can Find More Information” and “Incorporation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sale of a substantial amount of the ADSs by the selling shareholders in the public market could adversely affect the prevailing market price of our Class A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by selling shareholders of up to 98,577,627 Class A Ordinary Shares (represented by 32,859,209 American Depositary Shares). Sales of substantial amounts of the ADSs in the public market, or the perception that such sales might occur, could adversely affect the market price of the ADSs. We cannot predict if and when the selling shareholders may sell such ADSs in the public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sale or availability for sale of substantial amounts of the ADSs could adversely affect their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ADSs. See “Plan of Distribution”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US$600,000,000 of Class A ordinary shares, including Class A Ordinary Shares represented by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 each representing 3 Class A Ordinary Shares, debt securities, warrants, rights, and units, or any combination thereof, together or separately as described in this prospectus (as may be detailed in a prospectus supplement). The selling shareholders may sell from time to time in one or more offerings, offer and sell up to 98,577,627 Class A Ordinary Shares (represented by 32,859,209 American Depositary Shares). The securities offered under this prospectus may be offered separately, together, or in separate series, and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bl>
    <w:p>
      <w:pPr>
        <w:pStyle w:val="TextBody"/>
        <w:bidi w:val="0"/>
        <w:spacing w:before="0" w:after="0"/>
        <w:ind w:left="1080" w:right="0" w:hanging="36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immediate dilution from the public offering price which will be absorbed by such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general corporate purposes, which may include capital expenditures, working capital,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securities by the selling shareholders. The selling shareholders will receive all of the net proceeds from the sale of any securities offered by them under this prospectus. The selling shareholders will bear any underwriting discounts and commission and expenses incurred by them for brokerage, accounting, tax, legal services or any other expenses incurred by the selling shareholders in disposing of these securities. We will bear all other costs, fees and expenses incurred in effecting the registration of the securities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registered in Singapore and our affairs are governed by the provisions of our constitution, as amended and/or restated from time to time and the Companies Act, and the applicable laws of Singapore (including applicable common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(“ADSs”), each of which represents three Class A ordinary shares of Adlai Nortye Group Ltd. (“we,” “us,” “our company,” or “our”), are listed and traded on the Nasdaq Stock Market and the Class A ordinary shares are registered under Section 12(b) of the Exchange Act. This exhibit contains a description of the rights of (1) the holders of Class A ordinary shares and (2) the holders of ADSs. Class A ordinary shares underlying the ADSs are held by The Bank of New York Mellon, as depositary, and holders of ADSs will not be treated as holders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constitution and the Companies Act 1967 (as revised) of Singapore or the Companies Act, insofar as they relate to the material terms of our ordinary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Constitution (the “Constitution”) as well as the Companies Act 1967 (as revised) of Singapore (the “Singapore Companies Act”) insofar as they relate to the material terms of our Class A ordinary shares. As it is a summary, it may not contain all the information that you may otherwise deem important. For more complete information, you should read the entire Constitution, which has been filed as exhibit 99.1 to the Report of Foreign Private Issuer on Form 6-K filed with the Securities and Exchange Commission on 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Type and Class of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Class A ordinary shares and holders of Class B ordinary shares have the same rights except for voting and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no par value, as Singapore law abolished par value for shares with effect from 30 January 2006. In addition, Singapore law does not require companies to have authorized share capital. All shares presently issued are fully paid and existing Shareholders are not subject to any calls on shares. Although Singapore law does not recognize the concept of “non-assessability” with respect to newly-issued shares, we note that any subscriber of our shares who has fully paid up all amounts due, with respect to such shares, will not be subject to Singapore law concerning any personal liability to contribute to our assets or liabilities in such subscriber’s capacity solely as a holder of such shares. We believe this interpretation is substantively consistent with the concept of “non-assessability” under most, if not all, U.S. state corporations laws. We cannot, except in the circumstances permitted by the Singapore Companies Act, grant any financial assistance for the acquisition or proposed acquisition of our own Shares. Except as described in this section “Description of Share Capital— Singapore Code on Take-Overs and Mergers”, there are no limitations in our Constitution or Singapore law on the rights of Shareholders who are not resident in Singapore to hold or vote in respect of our ordinary shares. Our Class A ordinary shares are issued in registered form and are issued when registered in our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161(1) of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shd w:fill="FFFFFF" w:val="clear"/>
        <w:tblLayout w:type="fixed"/>
        <w:tblCellMar>
          <w:top w:w="0" w:type="dxa"/>
          <w:left w:w="0" w:type="dxa"/>
          <w:bottom w:w="0" w:type="dxa"/>
          <w:right w:w="0" w:type="dxa"/>
        </w:tblCellMar>
      </w:tblPr>
      <w:tblGrid>
        <w:gridCol w:w="75"/>
        <w:gridCol w:w="170"/>
        <w:gridCol w:w="41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1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conclusion of the next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expiration of the period within which the next annual general meeting is required by law to be held (i.e., within six months of our financial year end); and</w:t>
            </w:r>
          </w:p>
        </w:tc>
      </w:tr>
    </w:tbl>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shd w:fill="FFFFFF" w:val="clear"/>
        <w:tblLayout w:type="fixed"/>
        <w:tblCellMar>
          <w:top w:w="0" w:type="dxa"/>
          <w:left w:w="0" w:type="dxa"/>
          <w:bottom w:w="0" w:type="dxa"/>
          <w:right w:w="0" w:type="dxa"/>
        </w:tblCellMar>
      </w:tblPr>
      <w:tblGrid>
        <w:gridCol w:w="75"/>
        <w:gridCol w:w="170"/>
        <w:gridCol w:w="797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79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subsequent revocation or variation of such approval by our shareholders in a general meeting.</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this and the provisions of the Singapore Companies Act, our Constitution and the Shareholders Agreement, all new shares are under the control of our board of directors who may allot and issue new shares and instruments convertible into shares to such persons on such terms and conditions and with the rights and restrictions as they may think fit to impose.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Limitations or Qualifications.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dual-class voting structure such that 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fifteen votes, on all matters subject to a vote at general meetings of our company. Due to the additional votes attached to the Class B ordinary shares, the voting power of the Class A ordinary shares may be materially limited. Each Class B ordinary share is convertible into one Class A ordinary share at any time at the option of the holder thereof. Class A ordinary shares are not convertible into Class B ordinary shares under any circumstances. Upon any sale, transfer, assignment or disposition of any Class B ordinary shares by a holder to any person who is not the founder or an affiliate of the founder, or upon a change of ultimate beneficial ownership of any Class B ordinary share to any person who is not the founder or an affiliate of the founder, such Class B ordinary shares shall be automatically and immediately converted into the same number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Rights of Class A Ordinary Shares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Ordinary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fifteen votes on all matters subject to vote at our general meetings. Our ordinary shares are issued in registered form and are issued when registered in our register of members.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Each Class B ordinary share is convertible into one Class A ordinary share at any time at the option of the holder thereof. Class A ordinary shares are not convertible into Class B ordinary shares under any circumstances. Any number of Class B ordinary shares held by a holder thereof will be automatically and immediately converted into an equal number of Class A ordinary shares upon the occurrence of (1) any sale, transfer, assignment or disposition of any Class B ordinary shares by the holder thereof to any person that is not the founder or an affiliate of the founder, or (2) upon a change of ultimate beneficial ownership of any Class B ordinary share to any person that is not the founder or an affiliate of the founder.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The holders of our ordinary shares are entitled to such dividends as may be declared by our shareholders by ordinary resolution (provided that no dividend shall be payable except out of the profits of the Company, or in excess of the amount recommended by our directors). Under Section 403 of the Singapore Companies Act, no dividend is payable to the shareholders of any company except out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Voting at any meeting of shareholders is by a poll save that the chairman of the meeting may, in good faith, allow a resolution which relates purely to a procedural or administrative matter to be voted on by a show of hands. With respect to all matters subject to a shareholders’ vote, on a show of hands every shareholder present at the meeting shall each have one vote, and on a poll, every shareholder present at the meeting shall have one vote for each Class A ordinary share, and fifteen votes for each Class B ordinary share, voting together as one class on all matters submitted to a vote by our shareholders at any general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and issued ordinary shares cast at a meeting. A special resolution will be required for important matters such as making changes to our Constitution.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meetings of shareholders. </w:t>
      </w:r>
      <w:r>
        <w:rPr>
          <w:rFonts w:ascii="Times New Roman;Times;Serif" w:hAnsi="Times New Roman;Times;Serif"/>
          <w:b w:val="false"/>
          <w:i w:val="false"/>
          <w:caps w:val="false"/>
          <w:smallCaps w:val="false"/>
          <w:sz w:val="20"/>
        </w:rPr>
        <w:t>As a Singapore public company limited by shares, we are required pursuant to section 175(1) of the Companies Act to hold an annual general meeting within six (6) months after the end of each financial year. Our Constitution provides that we may in each calendar year hold a general meeting as our annual general meeting in addition to any other meetings in that year, and shall specify the meeting as such in the notices calling it. The annual general meeting shall be held at such time and place as may be determined by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of directors (acting by a resolution of our board of directors). Advance notice of at least twenty-one clear days is required for the convening of our annual general shareholders’ meeting (if any) and at least fourteen clear days for any other general meeting of our shareholders. A quorum required for any general meeting of shareholders consists of one or more shareholder present in person or by proxy, holding shares which carry in aggregate not less than one-third of all votes attaching to our issued and outstanding shares entitled to attend and vote at the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provides that members holding not less than 10% of the total number of paid-up shares carrying voting rights may requisition the directors to convene an extraordinary general meeting, which must be held as soon as practicable but in any case not later than two months after the receipt of the requisition. Additionally, two or more members holding not less than 10% of the total number of issued shares of the Company may call a meeting. Our Constitution provides that upon the requisition of any one or more of our shareholders, our board will convene an extraordinary general meeting and put the resolutions so requisitioned to a vote at such meeting. However, our Constitution does not provide our shareholders with any right to put any proposals before annual general meetings or extraordinary general meetings not called by such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of ordinary shares.</w:t>
      </w:r>
      <w:r>
        <w:rPr>
          <w:rFonts w:ascii="Times New Roman;Times;Serif" w:hAnsi="Times New Roman;Times;Serif"/>
          <w:b w:val="false"/>
          <w:i w:val="false"/>
          <w:caps w:val="false"/>
          <w:smallCaps w:val="false"/>
          <w:sz w:val="20"/>
        </w:rPr>
        <w:t> Subject to the restrictions set out in our Constitution as set out below, any of our shareholders may transfer all or any of her or his ordinary shares by an instrument of transfer in the usual or common form or any other form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lodge a notice of transfer of any ordinary share which is not fully paid up, the transferee is not approved by the directors, or on which we have a lien. Our board of directors must also decline to register any transfer of any ordinary share if under any circumstances it is transferred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Stock Market may determine to be payable or such lesser sum as our directors may from time to time require is paid to us in respect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30 days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Liquidation. </w:t>
      </w:r>
      <w:r>
        <w:rPr>
          <w:rFonts w:ascii="Times New Roman;Times;Serif" w:hAnsi="Times New Roman;Times;Serif"/>
          <w:b w:val="false"/>
          <w:i w:val="false"/>
          <w:caps w:val="false"/>
          <w:smallCaps w:val="false"/>
          <w:sz w:val="20"/>
        </w:rPr>
        <w:t>If our company is wound up voluntarily, under supervision, or by court order, the liquidator may, with approval by special resolution, distribute all or part of our company’s assets directly to shareholders instead of selling them for cash. The liquidator may decide the value of the assets and how they will be divided among different shareholders or classes of shareholders. With the same approval, the liquidator may also vest the whole or any part of the assets in trustees for the shareholders’ benefit. However, no shareholders can be required to accept shares or other securities that carry further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Calls on Shares and Forfeiture of Shares. </w:t>
      </w:r>
      <w:r>
        <w:rPr>
          <w:rFonts w:ascii="Times New Roman;Times;Serif" w:hAnsi="Times New Roman;Times;Serif"/>
          <w:b w:val="false"/>
          <w:i w:val="false"/>
          <w:caps w:val="false"/>
          <w:smallCaps w:val="false"/>
          <w:sz w:val="20"/>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Repurchase and Surrender of Shares.</w:t>
      </w:r>
      <w:r>
        <w:rPr>
          <w:rFonts w:ascii="Times New Roman;Times;Serif" w:hAnsi="Times New Roman;Times;Serif"/>
          <w:b w:val="false"/>
          <w:i w:val="false"/>
          <w:caps w:val="false"/>
          <w:smallCaps w:val="false"/>
          <w:sz w:val="20"/>
        </w:rPr>
        <w:t xml:space="preserve"> We may issue shares on terms that such shares are subject to redemption, at our option or at the option of the holders of these shares, on such terms and in such manner as may be determined by our constitution. Pursuant to Section 70(1) of the Singapore Companies Act, a company having a share capital may, if so authorized by its constitution, issue preference shares which are, or at the option of the company are to be, liable to be redeemed and the redemption may be effected only on such terms and in such manner as is provided by the constitution. Our company may redeem, purchase or otherwise acquire its own shares if it is expressly permitted to do so by its constitution and the acquisition complies with the relevant provisions of the Singapore Companies Act. Under Section 70(4) of the Singapore Companies Act, redeemable shares must not be redeemed out of capital unless (a) all the directors of the company have made a solvency statement in relation to such redemption, and (b) the company has lodged a copy of the statement with the Registrar of Companies of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Inspection of books and records. </w:t>
      </w:r>
      <w:r>
        <w:rPr>
          <w:rFonts w:ascii="Times New Roman;Times;Serif" w:hAnsi="Times New Roman;Times;Serif"/>
          <w:b w:val="false"/>
          <w:i w:val="false"/>
          <w:caps w:val="false"/>
          <w:smallCaps w:val="false"/>
          <w:sz w:val="20"/>
        </w:rPr>
        <w:t>Under Section 192 of the Singapore Companies Act, shareholders of a public company have the right to inspect the register of members and index without charge. Members are also entitled to inspect minutes of general meetings without charge under section 189 of the Companies Act. However, shareholders do not have a general right under Singapore law to inspect our accounting records, board meeting minutes, or other corporate records beyond the register of members, the register of mortgages and charges, our constitution, and special resolutions of our shareholders. We will provide our shareholders with annual audited financial statements in accordance with section 201 of the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to Change the Rights of Holders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Variations of rights of shares.</w:t>
      </w:r>
      <w:r>
        <w:rPr>
          <w:rFonts w:ascii="Times New Roman;Times;Serif" w:hAnsi="Times New Roman;Times;Serif"/>
          <w:b w:val="false"/>
          <w:i w:val="false"/>
          <w:caps w:val="false"/>
          <w:smallCaps w:val="false"/>
          <w:sz w:val="20"/>
        </w:rPr>
        <w:t> Our board of directors, or the shareholders, by ordinary resolution, may authorize the division of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board of directors or by the shareholders by ordinary resolution. However, under Section 74 of the Singapore Companies Act, where any variation or abrogation of the rights attached to an existing class of shares is proposed, such variation or abrogation requires either (a) the consent or sanction of the specified proportion of the holders of shares of that class as provided in our Constitution, or (b) if no such proportion is specified, the sanction of a resolution passed by holders of not less than 75% of the total number of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Code on Take-Overs and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Code on Take-Overs and Mergers (the “Singapore Take-over Code”) regulates, among other things, the acquisition of voting shares of Singapore-incorporated public companies. In this regard, the Singapore Take-over Code applies to, among others, corporations with a primary listing of their equity securities in Singapore. While the Singapore Take-over Code is drafted with, among others, listed public companies in mind, unlisted public companies with more than 50 shareholders and net tangible assets of assets of $3.75million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of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acquiring an interest, whether by a series of transactions over a period of time or not, shares which either on his or her own or together with parties acting in concert with such person, carry 30% or more of the voting rights in the Company or any person holding, either on his or her own or together with parties acting in concert with such person, holds not less than 30% but not more than 50% of the voting rights in the Company, and if such person (or any party acting in concert with such person) acquires additional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its parent company, its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with any of its directors (together with their close relatives, related trusts and companies controlled by any of the directors, their close relatives and related trusts);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shd w:fill="FFFFFF" w:val="clear"/>
        <w:tblLayout w:type="fixed"/>
        <w:tblCellMar>
          <w:top w:w="0" w:type="dxa"/>
          <w:left w:w="0" w:type="dxa"/>
          <w:bottom w:w="0" w:type="dxa"/>
          <w:right w:w="0" w:type="dxa"/>
        </w:tblCellMar>
      </w:tblPr>
      <w:tblGrid>
        <w:gridCol w:w="75"/>
        <w:gridCol w:w="170"/>
        <w:gridCol w:w="573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57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with any of its pension funds and employee share schemes;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with any investment company, unit trust or other fund whose investment such person manages on a discretionary basis but only in respect of the investment account which such person manages;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financial or other professional adviser, including a stockbroker, with its client in respect of the shareholdings of the adviser and persons controlling, controlled by or under the same control as the adviser;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of a company (including their close relatives, related trusts and companies controlled by any of such directors, their close relatives and related trusts) which is subject to an offer or where the directors have reason to believe a bona fide offer for the company may be imminent;</w:t>
            </w:r>
          </w:p>
        </w:tc>
      </w:tr>
    </w:tbl>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shd w:fill="FFFFFF" w:val="clear"/>
        <w:tblLayout w:type="fixed"/>
        <w:tblCellMar>
          <w:top w:w="0" w:type="dxa"/>
          <w:left w:w="0" w:type="dxa"/>
          <w:bottom w:w="0" w:type="dxa"/>
          <w:right w:w="0" w:type="dxa"/>
        </w:tblCellMar>
      </w:tblPr>
      <w:tblGrid>
        <w:gridCol w:w="75"/>
        <w:gridCol w:w="170"/>
        <w:gridCol w:w="108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10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 mandatory offer must be in cash or be accompanied by a cash alternative at not less than the highest price paid by the offeror or parties acting in concert with the offeror for voting rights in the offeree company during the offer period and within the six months prior to its commencement.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Differences Between the Law of Different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1967 of Singapore (“Singapore Companies Act”) was based on the Malaysian Companies Act 1965, which was in turn derived from the Companies Act 1961 of Victoria, Australia, and the United Kingdom Companies Act 1948. Accordingly, English company law principles continue to be persuasive in the interpretation of the Singapore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Mergers and Similar Arrangements. </w:t>
      </w:r>
      <w:r>
        <w:rPr>
          <w:rFonts w:ascii="Times New Roman;Times;Serif" w:hAnsi="Times New Roman;Times;Serif"/>
          <w:b w:val="false"/>
          <w:i w:val="false"/>
          <w:caps w:val="false"/>
          <w:smallCaps w:val="false"/>
          <w:sz w:val="20"/>
        </w:rPr>
        <w:t>Sections 215A to 215J of the Singapore Companies Act provide a statutory amalgamation procedure under which two or more companies may amalgamate and continue as one company, which may be one of the amalgamating companies or a new company. To effect such an amalgamation, the directors of each amalgamating company must approve an amalgamation proposal, which must then be authorised by special resolution of the members. Prior to the general meeting, directors must make solvency statements in respect of both the amalgamating company and the amalgamated company. Notice of the proposed amalgamation must be sent to every secured creditor and published in at least one daily English newspaper not less than 21 days before the general meeting. Upon filing the required documents with the Registrar, a notice of amalgamation will be issued. Court approval is not required for an amalgamation which complies with these statutory procedures, although the Court may, on application by any member, creditor or other person who would be unfairly prejudiced, make orders directing that effect must not be given to the amalgamation proposal. A short-form amalgamation procedure is also available for amalgamations between a parent company and its wholly-owned subsidiaries without the standard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also contains a statutory power of compulsory acquisition under Section 215 which may facilitate the “squeeze out” of dissenting minority shareholders. Where an offer to acquire all shares (or all shares in a particular class) has, within four months after the making of the offer, been approved by holders of not less than 90% of those shares (other than shares already held by the transferee), the transferee may, within two months after such approval, give notice to any dissenting shareholder that it desires to acquire such dissenting shareholder’s shares. Upon such notice, the transferee is entitled and bound to acquire those shares on the terms of the approved offer, unless the Court orders otherwise on application by the dissenting shareholder within one month. Where the transferee acquires 90% of the shares in a company, holders of remaining shares may require the transferee to acquire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also apply to the courts of Singapore for a scheme of arrangement to effect a compromise or arrangement between a company and its creditors or members. If a majority in number representing three-fourths in value of the creditors or members (or class thereof), present and voting at a court-ordered meeting, agrees to the scheme, and the Court approves the scheme, it becomes binding on all such creditors or members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Shareholders’ suits. </w:t>
      </w:r>
      <w:r>
        <w:rPr>
          <w:rFonts w:ascii="Times New Roman;Times;Serif" w:hAnsi="Times New Roman;Times;Serif"/>
          <w:b w:val="false"/>
          <w:i w:val="false"/>
          <w:caps w:val="false"/>
          <w:smallCaps w:val="false"/>
          <w:sz w:val="20"/>
        </w:rPr>
        <w:t>Under Singapore law, shareholders may bring a statutory derivative action on behalf of the Company pursuant to section 216A of the Companies Act. Shareholders may also seek relief under section 216 of the Singapore Companies Act where the company’s affairs are conducted, or directors’ powers are exercised, in a manner oppressive to, or in disregard of the interests of, one or more members. However, as ADS holders are not registered shareholders under Singapore law, they will not be able to bring such suits to the courts of Singapore unless they become registered holders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Under Section 172 of the Companies Act 1967 of Singapore (“Singapore Companies Act”), any provision (whether in the constitution, contract with the company or otherwise) which purports to exempt or provides an indemnity for exempting or indemnifying the officers of a company (including directors) against any liability which by law would otherwise attach to them in connection with any negligence, default, breach of duty or breach of trust in relation to a company will be void. However, a company is not prohibited from: (a) as provided in Section 172A of the Singapore Companies Act, purchasing and maintaining for an officer of the company insurance against any such liability incurred by him or her in connection with any negligence, default, breach of duty or breach of trust in relation to the company; or (b) as provided in Section 172B of the Singapore Companies Act, indemnifying an officer of a company against liability incurred by an officer to a person other than the company, except when the indemnity is against (i) any liability of the officer to pay a fine in criminal proceedings or a sum payable to a regulatory authority by way of a penalty in respect of non-compliance of any requirement of a regulatory nature (howsoever arising); or (ii) any liability incurred by the officer (A) in defending criminal proceedings in which he or she is convicted; (B) in defending civil proceedings brought by the company or a related company in which judgment is given against him or her; or (C) in connection with an application for relief under Section 76A(13) or Section 391 of the Singapore Companies Act in which the Singapore courts refuses to grant him or her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“officer” in relation to a corporation includes (a) any director or secretary of the corporation or a person employed in an executive capacity by the corporation, (b) a receiver and manager of any part of the undertaking of the corporation appointed under a power contained in any instrument, and (c) any liquidator of a company appointed in a voluntary winding up, but does not include any receiver who is not also a manager, any receiver and manager appointed by the Singapore court, any liquidator appointed by the Singapore court or by the creditors, or a judicial manager appointed under Part 7 of the Singapore Insolvency, Restructuring and Dissolution Act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for negligence, default, breach of duty or breach of trust against an officer, Section 391 of the Singapore Companies Act gives the court the power to relieve officers either wholly or partially from the consequences of their negligence, default, breach of duty or breach of trust. In order for relief to be obtained, it must be shown that (i) the officer acted honestly; (ii) the officer acted reasonably; and (iii) having regard to all the circumstances of the case including those connected with such officer’s appointment, the officer ought fairly to be excused.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Singapore case law has indicated that relief is unlikely to be granted to an officer whose breach involved an intent to gain an improper benefit or advantage, or where there was deceit, conscious impropriety, or carelessness or imprudence that negates the performance of the duty in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provisions of and so far as may be permitted by the Singapore Companies Act and every other legislation for the time being in force concerning companies and affecting our company, every director or other officer of the Company shall be entitled to be indemnified by it against all costs, charges, losses, expenses and liabilities incurred or to be incurred by him in the execution and discharge of his duties or in relation thereto. In addition, the Company has entered into an indemnification agreement with each of its directors and executive officers that provides for indemnification of that director and/or executive officer against certain claims that arise by reason of their status or service as a director or executive officer. The form of such indemnification agreement was filed as Exhibit 10.2 to Form F-1 Registration Statement filed with the SEC on July 27,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 law, a director of a Singapore company owes fiduciary duties to the company. Section 157(1) of the Singapore Companies Act provides that a director must at all times act honestly and use reasonable diligence in the discharge of the duties of his office. The duty to act honestly has been interpreted as the common law duty to act bona fide in the best interests of the company, which is the overarching duty of single-minded loyalty owed by a director. The duty to use reasonable diligence encompasses the common law duty to exercise due care, skill and diligence. The standard of care is objective, measured against the standard of a reasonable director in the same position, and may be raised if the director possesses or held himself out as possessing special knowledge or experience. In assessing whether a director has acted bona fide in the best interests of the company, the Singapore courts apply both a subjective test (whether the director exercised his discretion bona fide in what he considered to be in the interests of the company) and an objective test (whether an intelligent and honest person in the position of a director could, in the circumstances, have reasonably believed that the transaction was for the benefit of the company). The courts will be slow to interfere with commercial decisions made honestly even if they turn out, on hindsight, to be financially detrimental. However, where a transaction is not objectively in the company’s interests, the court may draw an inference that the director was not acting honestly.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Shareholder action by written consent. </w:t>
      </w: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Section 184A of the Singapore Companies Act permits a private company or an unlisted public company to pass resolutions by written means without holding a general meeting, subject to the requirements of Sections 184A to 184F. However, as we are a listed public company, Section 184A does not apply to us and our shareholders may not approve corporate matters by way of written resolution in lieu of a general meeting. Accordingly, all resolutions of our shareholders must be passed at a duly convened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proposals</w:t>
      </w:r>
      <w:r>
        <w:rPr>
          <w:rFonts w:ascii="Times New Roman;Times;Serif" w:hAnsi="Times New Roman;Times;Serif"/>
          <w:b w:val="false"/>
          <w:i w:val="false"/>
          <w:caps w:val="false"/>
          <w:smallCaps w:val="false"/>
          <w:sz w:val="20"/>
        </w:rPr>
        <w:t>.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provides that members holding not less than 10% of the total number of paid-up shares carrying voting rights may requisition the directors to convene an extraordinary general meeting, which must be held within two months of receipt of the requisition. Additionally, two or more members holding not less than 10% of the total number of issued shares may call a meeting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allows any one or more of our shareholders holding shares which carry in aggregate not less than 10% of the total number of votes attaching to all issued and outstanding shares of our company as of the date of the deposit that are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Constitution does not provide our shareholders with any other right to put proposals before annual general meetings or extraordinary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Singapore public company limited by shares, we are required pursuant to Section 175(1) of the Singapore Companies Act to hold an annual general meeting within six (6) months after the end of each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Singapore, but our Constitution does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Constitution, directors may be removed by an ordinary resolution of our shareholders or by the Board.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Constitution.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152(1) of the Singapore Companies Act, a public company may by ordinary resolution remove a director before the expiration of his or her period of office, despite anything in its constitution or in any agreement between the company and the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law has no comparable statute. As a result, we cannot avail ourselves of the types of protections afforded by the Delaware business combination statute. However, the Singapore Companies Act requires directors to disclose any interest in transactions with the company, and directors who are interested in a transaction are generally prohibited from voting on the matter unless permitted by the company’s constitution. Directors of Singapore companies are also subject to fiduciary duties under common law, including the duty to act in the best interests of the company and to avoid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Restructuring.</w:t>
      </w:r>
      <w:r>
        <w:rPr>
          <w:rFonts w:ascii="Times New Roman;Times;Serif" w:hAnsi="Times New Roman;Times;Serif"/>
          <w:b w:val="false"/>
          <w:i w:val="false"/>
          <w:caps w:val="false"/>
          <w:smallCaps w:val="false"/>
          <w:sz w:val="20"/>
        </w:rPr>
        <w:t xml:space="preserve"> Under the Insolvency, Restructuring and Dissolution Act 2018 of Singapore, a company, its directors or any creditor may apply to the courts of Singapore for a judicial management order where the company is or is likely to become unable to pay its debts, and there is a reasonable probability of rehabilitating the company, preserving all or part of its business as a going concern, or achieving a more advantageous realization of its assets than on a winding up. Upon the making of a judicial management order, a judicial manager is appointed to manage the affairs, business and property of the company with a view to achieving one or more statutory purposes, including the survival of the company as a going concern or the approval of a scheme of arrangement with creditors. A company may also separately apply to the courts of Singapore for a scheme of arrangement, which may be used independently of judicial management to effect a compromise or arrangement between a company and its creditors or members.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Singapore or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 law, a company may be wound up by either an order of the court of Singapore or voluntarily. While a members’ voluntary winding up and a creditors’ voluntary winding up both require a special resolution of its members, the latter will grant the company’s creditors the right to appoint the liquidator. The Court has authority to order the winding up of a company in a number of specified circumstances, including where the company is deemed unable to pay its debts or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Section 74 of the Singapore Companies Act, where the company’s share capital was divided into different classes of shares and its constitution authorises the variation or abrogation of the rights attached to any class of shares in the company, the rights attached to that class of shares must not be varied or abrogated except by, if specified in the constitution as being necessary for such variation or abrogation, the consent of the specified proportion of the holders of the shares of that class or the sanction of a resolution passed at a separate meeting by the holders in total of not less than the specified proportion of the total number of shares of that class. Where the constitution does not specify the aforementioned matters, such variation and abrogation may be authorised by the sanction of a resolution passed by the holders in total of not less than 75% of the total number of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section 26(1) of the Singapore Companies Act and our Constitution, our Constitution may only be amended by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Constitution on the rights of non-resident or foreign shareholders to hold or exercise voting rights on our shares. In addition, there are no provisions in our Constitution that require our company to disclose shareholder ownership above any particular ownership threshold. There are statutory shareholding disclosure requirements under Singapore law, but such requirements do not apply to our company at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in accordance with the Singapore Companies Act and our Constitution:</w:t>
      </w:r>
    </w:p>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capital by such sum, as the resolution shall prescribe;</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amounts than our existing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which at the date of the passing of the resolution have not been taken or agreed to be taken by any person, and diminish the amount of its share capital by the amount of the shares so cancelled subject to the provisions of the Singapore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smaller amount than is fixed by our Constitution, subject nevertheless to the Singapore Companies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subject to any confirmation or consent required by the Singapore Companies Act: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4"/>
        <w:gridCol w:w="9858"/>
      </w:tblGrid>
      <w:tr>
        <w:trPr/>
        <w:tc>
          <w:tcPr>
            <w:tcW w:w="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pPr>
            <w:r>
              <w:rPr/>
              <w:t>●</w:t>
            </w:r>
          </w:p>
        </w:tc>
        <w:tc>
          <w:tcPr>
            <w:tcW w:w="98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our share capital in any manner authorized by law;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our ordinary shares either alone or underlying other securities convertible into or exercisable or exchangeable for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certain rights and subject to certain conditions as set forth in our constitution and the Singapore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AMERICAN DEPOSITARY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will register and deliver American Depositary Shares, also referred to as ADSs. Each ADS will represent three Class A ordinary shares (or a right to receive three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Singapore law governs shareholder rights. The depositary will be the holder of the Class A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 which contains the terms of your ADSs. The deposit agreement has been filed with the SEC as an exhibit to our registration statement on Form F-1 (File No. 333- 273465), as amended, initially filed with the SEC on July 27, 2023. The form of ADR is included in the deposit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will you receive dividends and other distributions on the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Class A ordinary shares your ADSs represent.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w:t>
      </w:r>
      <w:r>
        <w:rPr>
          <w:rFonts w:ascii="Times New Roman;Times;Serif" w:hAnsi="Times New Roman;Times;Serif"/>
          <w:b w:val="false"/>
          <w:i w:val="false"/>
          <w:caps w:val="false"/>
          <w:smallCaps w:val="false"/>
          <w:sz w:val="20"/>
        </w:rPr>
        <w:t>. The depositary will convert any cash dividend or other cash distribution we pay on the Class A 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depositary may distribute additional ADSs representing any Class A ordinary shares we distribute as a dividend or free distribution. The depositary will only distribute whole ADSs. It will sell Class A ordinary shares which would require it to deliver a fraction of an ADS (or ADSs representing those shares) and distribute the net proceeds in the same way as it does with cash. If the depositary does not distribute additional ADSs, the outstanding ADSs will also represent the new Class A ordinary shares. The depositary may sell a portion of the distributed Class A ordinary shares (or ADSs representing those shares) sufficient to pay its fees and expenses in connection with that distribution.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to purchase additional shares. </w:t>
      </w:r>
      <w:r>
        <w:rPr>
          <w:rFonts w:ascii="Times New Roman;Times;Serif" w:hAnsi="Times New Roman;Times;Serif"/>
          <w:b w:val="false"/>
          <w:i w:val="false"/>
          <w:caps w:val="false"/>
          <w:smallCaps w:val="false"/>
          <w:sz w:val="20"/>
        </w:rPr>
        <w:t>If we offer holders of our Class A ordinary shares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Class A ordinary shares, new ADSs representing the new Class A ordinary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Distributions. </w:t>
      </w:r>
      <w:r>
        <w:rPr>
          <w:rFonts w:ascii="Times New Roman;Times;Serif" w:hAnsi="Times New Roman;Times;Serif"/>
          <w:b w:val="false"/>
          <w:i w:val="false"/>
          <w:caps w:val="false"/>
          <w:smallCaps w:val="false"/>
          <w:sz w:val="20"/>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Deposit, Withdrawal and Cancellation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are ADSs issued?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can ADS holders withdraw the deposited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stamp taxes or stock transfer taxes or fees, the depositary will deliver the Class A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ADS holders interchange between certificated ADSs and uncertificated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do you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Singapore and the provisions of our Constitution or similar documents, to vote or to have its agents vote the Class A ordinary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by instructing the depositary as described above, you will not be able to exercise voting rights unless you surrender your ADSs and withdraw the Class A ordinary shares. However, you may not know about the meeting enough in advance to withdraw the Class A ordinary shares. In any event, the depositary will not exercise any discretion in voting deposited securities and it will only vote or attempt to vote as instructed.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Class A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Class A ordinary shares represented by your ADSs are not voted as you requested.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depository securities, if we request the Depositary to act, we agree to give the depositary notice of any such meeting and details concerning the matters to be voted upon at least 40 days in advance of the meeting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120" w:type="dxa"/>
          <w:bottom w:w="0" w:type="dxa"/>
          <w:right w:w="0" w:type="dxa"/>
        </w:tblCellMar>
      </w:tblPr>
      <w:tblGrid>
        <w:gridCol w:w="3951"/>
        <w:gridCol w:w="6254"/>
      </w:tblGrid>
      <w:tr>
        <w:trPr/>
        <w:tc>
          <w:tcPr>
            <w:tcW w:w="3951" w:type="dxa"/>
            <w:tcBorders>
              <w:top w:val="single" w:sz="8" w:space="0" w:color="000000"/>
              <w:left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i/>
                <w:sz w:val="20"/>
              </w:rPr>
              <w:t>Holders or persons depositing or withdrawing shares, surrendering ADSs, or to whom  ADSs are delivered, must pay</w:t>
            </w:r>
            <w:r>
              <w:rPr>
                <w:rFonts w:ascii="Times New Roman;Times;Serif" w:hAnsi="Times New Roman;Times;Serif"/>
                <w:b/>
                <w:sz w:val="20"/>
              </w:rPr>
              <w:t>:</w:t>
            </w:r>
          </w:p>
        </w:tc>
        <w:tc>
          <w:tcPr>
            <w:tcW w:w="6254" w:type="dxa"/>
            <w:tcBorders>
              <w:top w:val="single" w:sz="8" w:space="0" w:color="000000"/>
              <w:right w:val="single" w:sz="8" w:space="0" w:color="000000"/>
            </w:tcBorders>
            <w:tcMar>
              <w:left w:w="0" w:type="dxa"/>
              <w:right w:w="12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i/>
                <w:sz w:val="20"/>
              </w:rPr>
              <w:t>For</w:t>
            </w:r>
            <w:r>
              <w:rPr>
                <w:rFonts w:ascii="Times New Roman;Times;Serif" w:hAnsi="Times New Roman;Times;Serif"/>
                <w:b/>
                <w:sz w:val="20"/>
              </w:rPr>
              <w:t>:</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$5.00 (or less) per 100 ADSs (or portion of 100 ADSs)</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Issuance of ADSs, including issuances resulting from a distribution of shares or rights or other property or in relation to a change in the number of shares represented by ADSs Surrender of ADSs for the purpose of withdrawal, including if the deposit agreement terminates</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$.05 (or less) per ADS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cash distribution to ADS holders</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fee equivalent to the fee that would be payable if securities distributed to you had been shares and the shares had been deposited for issuance of ADSs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left"/>
              <w:rPr/>
            </w:pPr>
            <w:r>
              <w:rPr/>
              <w:t>Fees assessed from time to time, but not exceeding $.05 per ADS during any calendar year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Depositary services</w:t>
            </w:r>
          </w:p>
        </w:tc>
      </w:tr>
      <w:tr>
        <w:trPr/>
        <w:tc>
          <w:tcPr>
            <w:tcW w:w="3951" w:type="dxa"/>
            <w:tcBorders>
              <w:left w:val="single" w:sz="8" w:space="0" w:color="000000"/>
            </w:tcBorders>
            <w:tcMar>
              <w:top w:w="0" w:type="dxa"/>
            </w:tcMar>
            <w:vAlign w:val="center"/>
          </w:tcPr>
          <w:p>
            <w:pPr>
              <w:pStyle w:val="TableContents"/>
              <w:bidi w:val="0"/>
              <w:spacing w:before="0" w:after="283"/>
              <w:jc w:val="left"/>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or transfer fees</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Transfer and registration of shares on our share register to or from the name of the depositary or its agent when you deposit or withdraw shares </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of the depositary</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Cable (including SWIFT) and facsimile transmissions (when expressly provided in the deposit agreement) Converting foreign currency to U.S. dollars</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As necessary  </w:t>
            </w:r>
          </w:p>
        </w:tc>
      </w:tr>
      <w:tr>
        <w:trPr/>
        <w:tc>
          <w:tcPr>
            <w:tcW w:w="3951" w:type="dxa"/>
            <w:tcBorders>
              <w:left w:val="single" w:sz="8" w:space="0" w:color="000000"/>
            </w:tcBorders>
            <w:tcMar>
              <w:top w:w="0" w:type="dxa"/>
            </w:tcMar>
            <w:vAlign w:val="center"/>
          </w:tcPr>
          <w:p>
            <w:pPr>
              <w:pStyle w:val="TableContents"/>
              <w:bidi w:val="0"/>
              <w:spacing w:before="0" w:after="283"/>
              <w:jc w:val="both"/>
              <w:rPr/>
            </w:pPr>
            <w:r>
              <w:rPr/>
              <w:t> </w:t>
            </w:r>
          </w:p>
        </w:tc>
        <w:tc>
          <w:tcPr>
            <w:tcW w:w="6254" w:type="dxa"/>
            <w:tcBorders>
              <w:right w:val="single" w:sz="8" w:space="0" w:color="000000"/>
            </w:tcBorders>
            <w:tcMar>
              <w:top w:w="0" w:type="dxa"/>
              <w:left w:w="0" w:type="dxa"/>
              <w:right w:w="120" w:type="dxa"/>
            </w:tcMar>
            <w:vAlign w:val="center"/>
          </w:tcPr>
          <w:p>
            <w:pPr>
              <w:pStyle w:val="TableContents"/>
              <w:bidi w:val="0"/>
              <w:spacing w:before="0" w:after="283"/>
              <w:jc w:val="both"/>
              <w:rPr/>
            </w:pPr>
            <w:r>
              <w:rPr/>
              <w:t> </w:t>
            </w:r>
          </w:p>
        </w:tc>
      </w:tr>
      <w:tr>
        <w:trPr/>
        <w:tc>
          <w:tcPr>
            <w:tcW w:w="395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6254" w:type="dxa"/>
            <w:tcBorders>
              <w:bottom w:val="single" w:sz="8" w:space="0" w:color="000000"/>
              <w:right w:val="single" w:sz="8" w:space="0" w:color="000000"/>
            </w:tcBorders>
            <w:tcMar>
              <w:top w:w="0" w:type="dxa"/>
              <w:left w:w="0" w:type="dxa"/>
              <w:bottom w:w="28" w:type="dxa"/>
              <w:right w:w="12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necessary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Cancellation of Deposited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or exchange offer unless instructed to do so by an ADS holder surrendering ADSs and subject to any conditions or procedures the depositary may establish.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may the deposit agreement be terminated?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60 days have passed since the depositary told us it wants to resign but a successor depositary has not been appointed and accepted its appointment;</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delist the ADSs from an exchange in the United States on which they were listed and do not list the ADSs on another exchange in the United States or make arrangements for trading of ADSs on the U.S. over-the-counter market;</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delist our shares from an exchange outside the United States on which they were listed and do not list the shares on another exchange outside the United States;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depositary has reason to believe the ADSs have become, or will become, ineligible for registration on Form F-6 under the Securities Act of 1933;</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131"/>
        <w:gridCol w:w="298"/>
        <w:gridCol w:w="9776"/>
      </w:tblGrid>
      <w:tr>
        <w:trPr/>
        <w:tc>
          <w:tcPr>
            <w:tcW w:w="131"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pPr>
            <w:r>
              <w:rPr/>
              <w:t>●</w:t>
            </w:r>
          </w:p>
        </w:tc>
        <w:tc>
          <w:tcPr>
            <w:tcW w:w="977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appear to be insolvent or enter insolvency proceedings;</w:t>
            </w:r>
          </w:p>
        </w:tc>
      </w:tr>
      <w:tr>
        <w:trPr/>
        <w:tc>
          <w:tcPr>
            <w:tcW w:w="131"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776"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or substantially all the value of the deposited securities has been distributed either in cash or in the form of securities;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are no deposited securities underlying the ADSs or the underlying deposited securities have become apparently worthless; or</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5"/>
        <w:gridCol w:w="335"/>
        <w:gridCol w:w="979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w:t>
            </w:r>
          </w:p>
        </w:tc>
        <w:tc>
          <w:tcPr>
            <w:tcW w:w="97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has been a replacement of deposited securities.</w:t>
            </w:r>
          </w:p>
        </w:tc>
      </w:tr>
    </w:tbl>
    <w:p>
      <w:pPr>
        <w:pStyle w:val="TextBody"/>
        <w:shd w:fill="FFFFFF" w:val="clear"/>
        <w:bidi w:val="0"/>
        <w:spacing w:before="0" w:after="0"/>
        <w:ind w:left="150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benefit of the ADS holders that have not surrendered their ADSs. Normally, the depositary will sell as soon as practicable after the termination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after the termination date, the depositary is not required to register any transfer of ADSs or distribute any dividends or other distributions on deposited securities to ADS holders (until they surrender their ADSs) or give any notices or perform any other duties under the deposit agreement except as described in this paragraph.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Limits on Liability to Holders of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only obligated to take the actions specifically set forth in the deposit agreement without negligence or bad faith, and the depositary will not be a fiduciary or have any fiduciary duty to holders of ADSs;</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not liable if we are or it is prevented or delayed by law or by events or circumstances beyond our or its ability to prevent or counteract with reasonable care or effort from performing our or its obligations under the deposit agreement;</w:t>
            </w:r>
          </w:p>
        </w:tc>
      </w:tr>
      <w:tr>
        <w:trPr/>
        <w:tc>
          <w:tcPr>
            <w:tcW w:w="74"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94"/>
        <w:gridCol w:w="215"/>
        <w:gridCol w:w="9896"/>
      </w:tblGrid>
      <w:tr>
        <w:trPr/>
        <w:tc>
          <w:tcPr>
            <w:tcW w:w="94"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both"/>
              <w:rPr/>
            </w:pPr>
            <w:r>
              <w:rPr/>
              <w:t>●</w:t>
            </w:r>
          </w:p>
        </w:tc>
        <w:tc>
          <w:tcPr>
            <w:tcW w:w="989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not liable if we or it exercises discretion permitted under the deposit agreement;</w:t>
            </w:r>
          </w:p>
        </w:tc>
      </w:tr>
      <w:tr>
        <w:trPr/>
        <w:tc>
          <w:tcPr>
            <w:tcW w:w="94" w:type="dxa"/>
            <w:tcBorders/>
            <w:shd w:fill="FFFFFF" w:val="clear"/>
            <w:vAlign w:val="center"/>
          </w:tcPr>
          <w:p>
            <w:pPr>
              <w:pStyle w:val="TableContents"/>
              <w:bidi w:val="0"/>
              <w:spacing w:before="0" w:after="283"/>
              <w:jc w:val="both"/>
              <w:rPr/>
            </w:pPr>
            <w:r>
              <w:rPr/>
              <w:t> </w:t>
            </w:r>
          </w:p>
        </w:tc>
        <w:tc>
          <w:tcPr>
            <w:tcW w:w="215" w:type="dxa"/>
            <w:tcBorders/>
            <w:shd w:fill="FFFFFF" w:val="clear"/>
            <w:vAlign w:val="center"/>
          </w:tcPr>
          <w:p>
            <w:pPr>
              <w:pStyle w:val="TableContents"/>
              <w:bidi w:val="0"/>
              <w:spacing w:before="0" w:after="283"/>
              <w:jc w:val="both"/>
              <w:rPr/>
            </w:pPr>
            <w:r>
              <w:rPr/>
              <w:t> </w:t>
            </w:r>
          </w:p>
        </w:tc>
        <w:tc>
          <w:tcPr>
            <w:tcW w:w="9896"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r>
        <w:trPr/>
        <w:tc>
          <w:tcPr>
            <w:tcW w:w="74"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have no obligation to become involved in a lawsuit or other proceeding related to the ADSs or the deposit agreement on your behalf or on behalf of any other person; </w:t>
            </w:r>
          </w:p>
        </w:tc>
      </w:tr>
      <w:tr>
        <w:trPr/>
        <w:tc>
          <w:tcPr>
            <w:tcW w:w="74"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may rely upon any documents we believe or it believes in good faith to be genuine and to have been signed or presented by the proper person; </w:t>
            </w:r>
          </w:p>
        </w:tc>
      </w:tr>
      <w:tr>
        <w:trPr/>
        <w:tc>
          <w:tcPr>
            <w:tcW w:w="74"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not liable for the acts or omissions of any securities depository, clearing agency or settlement system; and</w:t>
            </w:r>
          </w:p>
        </w:tc>
      </w:tr>
      <w:tr>
        <w:trPr/>
        <w:tc>
          <w:tcPr>
            <w:tcW w:w="74"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Requirements for Depositary Actions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payment of stock transfer or other taxes or other governmental charges and transfer or registration fees charged by third parties for the transfer of any shares or other deposited securities; </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satisfactory proof of the identity and genuineness of any signature or other information it deems necessary; and </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compliance with regulations it may establish, from time to time, consistent with the deposit agreement, including presentation of transfer documents.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170"/>
        <w:gridCol w:w="9961"/>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when temporary delays arise because: (i) the depositary has closed its transfer books or we have closed our transfer books; (ii) the transfer of shares is blocked to permit voting at a shareholders’ meeting; or (iii) we are paying a dividend on our shares; </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when you owe money to pay fees, taxes and similar charges; or </w:t>
            </w:r>
          </w:p>
        </w:tc>
      </w:tr>
      <w:tr>
        <w:trPr/>
        <w:tc>
          <w:tcPr>
            <w:tcW w:w="7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1" w:type="dxa"/>
            <w:tcBorders/>
            <w:shd w:fill="FFFFFF" w:val="clear"/>
            <w:vAlign w:val="center"/>
          </w:tcPr>
          <w:p>
            <w:pPr>
              <w:pStyle w:val="TableContents"/>
              <w:bidi w:val="0"/>
              <w:spacing w:before="0" w:after="283"/>
              <w:jc w:val="both"/>
              <w:rPr/>
            </w:pPr>
            <w:r>
              <w:rPr/>
              <w:t> </w:t>
            </w:r>
          </w:p>
        </w:tc>
      </w:tr>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when it is necessary to prohibit withdrawals in order to comply with any laws or governmental regulations that apply to ADSs or to the withdrawal of shares or other deposited securities.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under one or more indentures, each dated as of a date on or prior to the issuance of the debt securities to which it relates, and pursuant to an applicable prospectus supplement. We may issue senior debt securities and subordinated debt securities pursuant to separate indentures, a senior indenture and a subordinated indenture, respectively, in each case between us and the trustee named in the indenture. These indentures will be filed either as exhibits to an amendment to the registration statement of which this prospectus forms a part or as an exhibit to a report under the Exchange Act, that will be incorporated by reference into the registration statement of which this prospectus forms a part or a prospectus supplement. We refer to any applicable prospectus supplement, amendment to the registration statement and/or Exchange Act report as “subsequent filings”. The senior indenture and the subordinated indenture, as amended or supplemented from time to time, are each referred to individually as an “indenture” and collectively as the “indentures”. Each indenture will be subject to and governed by the Trust Indenture Act of 1939, as amended, and will be construed in accordance with and governed by the laws of the State of New York (without giving effect to any principles thereof relating to conflicts of law that would result in the application of the laws of any other jurisdiction) unless otherwise stated in the applicable prospectus supplement and indenture (or post-effective amendment hereto). Each indenture will contain the specific terms of any series of debt securities or provide that those terms must be set forth in or determined pursuant to, an authorizing resolution, as defined in the applicable prospectus supplement or a supplemental indenture, if any, relating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debt securities. The particular terms and provisions of the debt securities offered by any prospectus supplement, and the extent to which the general terms and provisions described below may apply to the offered debt securities, will be described in the applicable subsequent filings. The statements below are not complete and are subject to, and are qualified in their entirety by reference to, all of the provisions of the applicable indenture. The specific terms of any debt securities that we may offer, including any modifications of, or additions to, the general terms described below as well as any applicable material U.S. federal income tax considerations concerning the ownership of such debt securities will be described in the applicable prospectus supplement and indenture and, as applicable, supplemental indenture. Accordingly, for a complete description of the terms of a particular issue of debt securities, the general description of the debt securities set forth below should be read in conjunction with the applicable prospectus supplement and indenture, as amended or supplemented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neither indenture will limit the amount of debt securities which may be issued and that each indenture will provide that debt securities may be issued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subsequent filings related to a series of offered debt securities will describe the following terms of the series: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provide for interest payments, the date from which interest will accrue, the dates on which interest will be payable, the date on which payment of interest will commence and the regular record dates for interest payment 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our senior or subordinated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our secured or unsecured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applicability of and terms of any guarantees;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period or periods during which, and the price or prices at which, we will have the option to or be required to redeem or repurchase the debt securities of the series and the other material terms and provisions applicable to such redemption or repurchase;</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optional or mandatory sinking fund provisions;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conversion or exchangeability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denominations of $1,000 and any integral multiple thereof, the denominations in which debt securities of the series will be issuable;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the full principal amount, the portion of the principal amount of the debt securities of the series which will be payable upon acceleration or provable in bankruptcy;</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events of default not set forth in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including composite currencies, in which principal, premium and interest will be payable, if other than the currency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principal, premium or interest is payable, at our election or at the election of any holder, in a currency other than that in which the debt securities of the series are stated to be payable, the period or periods within which, and the terms and conditions upon which, the election may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interest will be payable in cash or additional securities at our or the holder’s option and the terms and conditions upon which the election may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denominated in a currency or currencies other than the currency of the United States of America, the equivalent price in the currency of the United States of America for purposes of determining the voting rights of holders of those debt securities under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amount of payments of principal, premium or interest may be determined with reference to an index, formula or other method based on a coin or currency other than that in which the debt securities of the series are stated to be payable, the manner in which the amounts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covenants or other material terms relating to the debt securities, which may not be inconsistent with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in the form of global securities or certificates in registered form;</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on any securities exchange or quotation system;</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provisions, if any, related to defeasance and discharge of the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special features of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filings may include additional terms not listed above. Unless otherwise indicated in subsequent filings with the Commission relating to the indenture, principal, premium and interest will be payable and the debt securities will be transferable at the corporate trust office of the applicable trustee. Unless other arrangements are made or set forth in subsequent filings or a supplemental indenture, principal, premium and interest will be paid by checks mailed to the registered holders at their registered addresses.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subsequent filings with the SEC, the debt securities will be issued only in fully registered form without coupons, in denominations of $1,000 or any integral multiple thereof. No service charge will be made for any transfer or exchange of the debt securities, but we may require payment of a sum sufficient to cover any tax or other governmental charge payable in connection with these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debt securities may be issued as discounted debt securities, bearing no interest or interest at a rate which at the time of issuance is below market rates, to be sold at a substantial discount below the stated principal amount. United States federal income tax consequences and other special considerations applicable to any discounted securities will be described in subsequent filings with the Commission relating to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the applicable subsequent filings for the particular terms and provisions of the debt securities offered by any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senior debt securities under a senior debt indenture. These senior debt securities would rank on an equal basis with all our other unsubordinated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subordinated debt securities under a subordinated debt indenture. These subordinated debt securities would rank subordinate and junior in priority of payment to certain of our other indebtedness to the extent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series of offered debt securities may have covenants in addition to or differing from those included in the applicable indenture which will be described in subsequent filings prepared in connection with the offering of such securities, limiting or restricting, among other things:</w:t>
      </w:r>
    </w:p>
    <w:p>
      <w:pPr>
        <w:pStyle w:val="TextBody"/>
        <w:bidi w:val="0"/>
        <w:spacing w:before="0" w:after="0"/>
        <w:ind w:left="720" w:right="0" w:hanging="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incur either secured or unsecured debt, or both;</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make certain payments, dividends, redemptions or repurchases;</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create dividend and other payment restrictions affecting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make investments;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mergers and consolidations by us;</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assets by us;</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enter into transactions with affiliates;</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incur liens; and</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 and leaseback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each indenture and the rights of the respective holders generally may be modified by us only with the consent of holders of not less than a majority in aggregate principal amount of the outstanding debt securities of all series under the respective indenture affected by the modification, taken together as a class. But we expect that no modification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changes the amount of securities whose holders must consent to an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reduces the rate of or changes the interest payment time on any security or alters its redemption provisions (other than any alteration to any such section which would not materially adversely affect the legal rights of any holder under the indenture) or the price at which we are required to offer to purchase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reduces the principal or changes the maturity of any security or reduces the amount of, or postpones the date fixed for, the payment of any sinking fund or analogous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waives a default or event of default in the payment of the principal of or interest, if any, on any security (except a rescission of acceleration of the securities of any series by the holders of at least a majority in principal amount of the outstanding securities of that series and a waiver of the payment default that resulted from such acceleration);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makes the principal of or interest, if any, on any security payable in any currency other than that stated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makes any change with respect to holders’ rights to receive principal and interest, the terms pursuant to which defaults can be waived, certain modifications affecting shareholders or certain currency-related issues;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waives a redemption payment with respect to any security or changes any of the provisions with respect to the redemption of any securities will be effective against any holder without each holder’s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certain changes under each indenture will not require the consent of any holders. These types of changes are generally limited to clarifications of ambiguities, omissions, defects and inconsistencies in each indenture and amendments, supplements and other changes that would not adversely affect the holders of outstanding debt securities under each indenture, such as adding security, covenants, additional events of default or successor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each indenture will define an event of default for the debt securities of any series as being any one of the following events:</w:t>
      </w:r>
    </w:p>
    <w:p>
      <w:pPr>
        <w:pStyle w:val="TextBody"/>
        <w:bidi w:val="0"/>
        <w:spacing w:before="0" w:after="0"/>
        <w:ind w:left="720" w:right="0" w:hanging="36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any payment of interest when due which continues for 30 days;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any payment of principal or premium when due;</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deposit of any sinking fund payment when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performance of any covenant in the debt securities or the applicable indenture which continues for 60 days after we receive notice of the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under a bond, debenture, note or other evidence of indebtedness for borrowed money by us or our subsidiaries (to the extent we are directly responsible or liable therefor) having a principal amount in excess of a minimum amount set forth in the applicable subsequent filings, whether such indebtedness now exists or is hereafter created, which default shall have resulted in such indebtedness becoming or being declared due and payable prior to the date on which it would otherwise have become due and payable, without such acceleration having been rescinded or annulled or cured within 30 days after we receive notice of the default; and</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events of bankruptcy, insolvency or reorganization.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of one series of debt securities will not necessarily constitute an event of default with respect to any other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such other or different events of default as described in an applicable subsequent filing with respect to any class or series of offered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under each indenture, in case an event of default occurs and continues for the debt securities of any series, the applicable trustee or the holders of not less than 25% in aggregate principal amount of the debt securities then outstanding of that series may declare the principal and accrued but unpaid interest of the debt securities of that series to be due and payable. Further, any event of default for the debt securities of any series which has been cured is expected to be permitted to be waived by the holders of a majority in aggregate principal amount of the debt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each indenture will require us to file annually, after debt securities are issued under that indenture, with the applicable trustee a written statement signed by two of our officers as to the absence of material defaults under the terms of that indenture. We also expect that each indenture will provide that the applicable trustee may withhold notice to the holders of any default if it considers it in the interest of the holders to do so, except notice of a default in payment of principal, premium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duties of the trustee in case an event of default occurs and continues, we expect that each indenture will provide that the trustee is under no obligation to exercise any of its rights or powers under that indenture at the request, order or direction of holders unless the holders have offered to the trustee reasonable indemnity. Subject to these provisions for indemnification and the rights of the trustee, each indenture is expected to provide that the holders of a majority in principal amount of the debt securities of any series then outstanding have the right to direct the time, method and place of conducting any proceeding for any remedy available to the trustee or exercising any trust or power conferred on the trustee as long as the exercise of that right does not conflict with any law or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indenture are expected to provide us with the option to be discharged from any and all obligations in respect of the debt securities issued thereunder upon the deposit with the trustee, in trust, of money or U.S. government obligations, or both, which through the payment of interest and principal will provide money in an amount sufficient to pay any installment of principal, premium and interest on, and any mandatory sinking fund payments in respect of, the debt securities on the stated maturity of the payments in accordance with the terms of the debt securities and the indenture governing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this right may only be exercised if, among other things, we have received from, or there has been published by, the United States Internal Revenue Service a ruling to the effect that such a discharge will not be deemed, or result in, a taxable event with respect to holders. This discharge would not apply to our obligations to register the transfer or exchange of debt securities, to replace stolen, lost or mutilated debt securities, to maintain paying agencies and hold moneys for payment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Certain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terms of each indenture will provide us with the right to omit complying with specified covenants and specified events of default described in a subsequent filing upon the deposit with the trustee, in trust, of money or U.S. government obligations, or both, which through the payment of interest and principal will provide money in an amount sufficient to pay any installment of principal, premium and interest on, and any mandatory sinking fund payments in respect of, the debt securities on the stated maturity of the payments in accordance with the terms of the debt securities and the indenture governing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to exercise this right we will also be required to deliver to the trustee an opinion of counsel to the effect that we have received from, or there has been published by, the United States Internal Revenue Service a ruling to the effect that the deposit and related covenant defeasance will not cause the holders of such series to recognize income, gain or loss for United States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filing may further describe the provisions, if any, of any particular series of offered debt securities permitting a discharge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 in registered form, where our obligation runs to the holder of the security named on the face of the security, or in bearer form, where our obligation runs to the bearer of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debt securities to be represented by a registered global security will be described in the prospectus supplement relating to those debt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in that registered global security, to exercise any rights of a holder under the indenture. We understand that under existing industry practices, if we request any action of holders of a registered global security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to owners of beneficial interests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indenture will provide that 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be required to issue securities in definitive form in exchange for the registered global security that had been held by the depositary. In addition, the indenture is expected to allow us to decide, at any time and in our sole discretion, to not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registered global securities, we expect that the Depository Trust Company, or DTC, will act as depository and the securities will be registered in the name of ______, as DTC’s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or securities of third parties or other rights, including rights to receive payment in cash or securities based on the value, rate or price of one or more specified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We expect that such terms will include, among others:</w:t>
      </w:r>
    </w:p>
    <w:p>
      <w:pPr>
        <w:pStyle w:val="TextBody"/>
        <w:bidi w:val="0"/>
        <w:spacing w:before="0" w:after="0"/>
        <w:ind w:left="720" w:right="0" w:hanging="36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such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price of such warrants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or other rights, including rights to receive payment in cash or securities based on the value, rate or price of one or more specified currencies, securities or indices, or any combination of the foregoing, purchasable upon exercise of such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at which, and the currency or currencies in which, the securities or other rights purchasable upon exercise of such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warrants shall commence and the date on which such right shall expire;</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such warrants which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such warrants are issued and the number of such warrants issued with each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any material U.S. federal income tax considerations;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relating to any rights will describe the terms of the offered rights, including, where applicable, the following:</w:t>
      </w:r>
    </w:p>
    <w:p>
      <w:pPr>
        <w:pStyle w:val="TextBody"/>
        <w:bidi w:val="0"/>
        <w:spacing w:before="0" w:after="0"/>
        <w:ind w:left="0" w:right="0" w:firstLine="36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for the rights;</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rights issued to each shareholder;</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rights, including terms, procedures and limitations relating to the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170"/>
        <w:gridCol w:w="2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rights outstanding;</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include an over-subscription privilege with respect to unsubscribed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terms of any standby underwriting arrangement entered into by us in connection with the rights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rights we offer will not necessarily be complete and will be qualified in its entirety by reference to the applicable rights certificate or rights agreement, which will be filed with the Commission if we offer rights. For more information on how you can obtain copies of any rights certificate or rights agreement if we offer rights, see “Where You Can Find Additional Information” of this prospectus. We urge you to read the applicable rights certificate, the applicable rights agreement and any applicable prospectus supplement in their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we may issue units consisting of one or more of our rights, purchase contracts, warrants, debt securities, equity securities, or any combination of such securities. The applicable prospectus supplement will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units and of the rights, purchase contracts, warrants, debt securities, equity securities comprising the units, including whether and under what circumstances the securities comprising the units may be traded separately;</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terms of any unit agreement governing the units;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any material U.S. federal income tax considerations; and</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provisions for the payment, settlement, transfer or exchange or the units.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170"/>
        <w:gridCol w:w="2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bl>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broker-dealers (acting as agent or principal);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by us to purchasers (including our affiliates and shareholders), through a specific bidding or auction process, a rights offering, or other method;</w:t>
            </w:r>
          </w:p>
        </w:tc>
      </w:tr>
    </w:tbl>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such methods of sale; or</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methods described in a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transactions (which may involve crosses) and transactions on Nasdaq or any other organized market where the securities may be traded;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bl>
    <w:p>
      <w:pPr>
        <w:pStyle w:val="TextBody"/>
        <w:bidi w:val="0"/>
        <w:spacing w:before="0" w:after="0"/>
        <w:ind w:left="0" w:right="0" w:hanging="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and</w:t>
            </w:r>
          </w:p>
        </w:tc>
      </w:tr>
    </w:tbl>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and February 2, 2026, the Company entered into securities purchase agreements with the selling shareholders named below for a private investment in public equity financing, or the February 2026 Private Placement. In the February 2026 Private Placement, the Company agreed to sell to the selling shareholders an aggregate of 64,615,386 Class A Ordinary Shares (represented by 21,538,462 American Depositary Shares, each representing 3 Class A ordinary shares), at a price of $2.1667 per Class A ordinary shares (equivalent of $6.50 per ADS) in one or more closings.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2026 Private Placement was co-led by Cormorant Asset Management and Columbia Threadneedle Investments with participation from both new and existing investors including Balyasny Asset Management L.P., Point72, Squadron Capital Management and Casdin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the Company entered into securities purchase agreements with the selling shareholders named below for a private investment in public equity financing, or the April 2026 Private Placement. In the April 2026 Private Placement, the Company agreed to sell to the selling shareholders an aggregate of 33,962,241 Class A Ordinary Shares (represented by 11,320,747 American Depositary Shares, each representing 3 Class A ordinary shares), at a price of $4.4167 per Class A ordinary shares (equivalent of $13.25 per ADS) in one or more closings.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Private Placement was co-led by Leerink Partners, Cantor, Lucid Capital Markets, H.C. Wainwright &amp; Co. and Jones with participation from both new and existing investors including Soleus Capital Management, Perceptive Advisors, ADAR1 Capital Management, MPM BioImpact, Octagon Capital Advisors, Eventide Asset Management, Kalehua Capital Management and DAFNA Capital Management as the new investors, with additional participation from existing investors including Cormorant Asset Management, Columbia Threadneedle Investments, Balyasny Asset Management, Casdin Capital, Squadron Capital Management and Superstring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public resale of our securities owned by the selling shareholders named below. Such selling shareholders may from time to time offer and sell pursuant to this prospectus any or all of the ordinary shares and/or warrants owned by them. The selling shareholders, however, make no representations that the ordinary shares or warrants will be offered for sale. The table below presents information regarding the selling shareholders and the ordinary shares and/or warrants that each may offer and sell from time to time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each selling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beneficially owned by each selling shareholder prior to the sale of the securities covered by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that may be offered by each selling shareholder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to be beneficially owned by each selling shareholder following the sale of any securities covered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each type of securities to be owned by each selling shareholder before and after the sale of the securities covered by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ownership of the selling shareholders’ shares has been furnished by or on behalf of the selling shareholders and, unless otherwise indicated, is as of September 11, 2026. Based on information supplied by the selling shareholders, we believe that, except as may otherwise be indicated in the footnotes to the table below, the selling shareholders have sole voting and dispositive power with respect to the securities reported as beneficially owned by them.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shareholders may sell, transfer or otherwise dispose of all, some or none of the securities covered by this prospectus, we cannot determine the number of such securities that will be sold, transferred or otherwise disposed of by the selling shareholders, or the amount or percentage of securities that will be held by the selling shareholders upon termination of any particular offering or sale, if any. The selling shareholders make no representations, however, that they will sell, transfer or otherwise dispose any securities in any particular offering or sale. In addition, the selling shareholders may have sold, transferred or otherwise disposed of, or may sell, transfer or otherwise dispose of, at any time and from time to time, the ordinary shares they hold in transactions exempt from the registration requirements of the Securities Act after the date on which they provided the information set forth on the table below. Solely for purposes of the requirements applicable to the registration statement of which this prospectus forms a part, the following table assumes that the selling shareholders will sell all of the securities owned beneficially by them that are covered by this prospectus, but will not sell any other securities that they presently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2026 Private Placement</w:t>
      </w:r>
    </w:p>
    <w:p>
      <w:pPr>
        <w:pStyle w:val="TextBody"/>
        <w:bidi w:val="0"/>
        <w:spacing w:before="0" w:after="0"/>
        <w:ind w:left="0" w:right="0" w:hanging="0"/>
        <w:jc w:val="left"/>
        <w:rPr>
          <w:caps w:val="false"/>
          <w:smallCaps w:val="false"/>
        </w:rPr>
      </w:pPr>
      <w:r>
        <w:rPr>
          <w:caps w:val="false"/>
          <w:smallCaps w:val="false"/>
        </w:rPr>
        <w:t> </w:t>
      </w:r>
    </w:p>
    <w:tbl>
      <w:tblPr>
        <w:tblW w:w="7549" w:type="dxa"/>
        <w:jc w:val="left"/>
        <w:tblInd w:w="0" w:type="dxa"/>
        <w:tblLayout w:type="fixed"/>
        <w:tblCellMar>
          <w:top w:w="0" w:type="dxa"/>
          <w:left w:w="0" w:type="dxa"/>
          <w:bottom w:w="28" w:type="dxa"/>
          <w:right w:w="0" w:type="dxa"/>
        </w:tblCellMar>
      </w:tblPr>
      <w:tblGrid>
        <w:gridCol w:w="4445"/>
        <w:gridCol w:w="60"/>
        <w:gridCol w:w="83"/>
        <w:gridCol w:w="1361"/>
        <w:gridCol w:w="60"/>
        <w:gridCol w:w="60"/>
        <w:gridCol w:w="1145"/>
        <w:gridCol w:w="335"/>
      </w:tblGrid>
      <w:tr>
        <w:trPr/>
        <w:tc>
          <w:tcPr>
            <w:tcW w:w="4445" w:type="dxa"/>
            <w:tcBorders>
              <w:bottom w:val="single" w:sz="12"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Number of</w:t>
              <w:br/>
              <w:t>Ordinary</w:t>
              <w:br/>
              <w:t>Shares</w:t>
              <w:br/>
              <w:t>Being Offered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br/>
              <w:t>Ownership</w:t>
            </w:r>
            <w:r>
              <w:rPr>
                <w:rFonts w:ascii="Times New Roman;Times;Serif" w:hAnsi="Times New Roman;Times;Serif"/>
                <w:b/>
                <w:position w:val="7"/>
                <w:sz w:val="16"/>
                <w:sz w:val="20"/>
              </w:rPr>
              <w:t>(1)</w:t>
            </w:r>
          </w:p>
        </w:tc>
        <w:tc>
          <w:tcPr>
            <w:tcW w:w="335" w:type="dxa"/>
            <w:tcBorders/>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Crum Creek Holding Limited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923,076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position w:val="8"/>
                <w:sz w:val="19"/>
              </w:rPr>
            </w:pPr>
            <w:r>
              <w:rPr>
                <w:caps w:val="false"/>
                <w:smallCaps w:val="false"/>
                <w:position w:val="8"/>
                <w:sz w:val="19"/>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Cormorant Global Healthcare Master Fund, LP</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8,538,462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Health Spectrum (Master) Fund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6,461,538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Tech Spectrum (Master) Fund</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773,928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Tech Spectrum Offshore Fund</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1,302,996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III, L.P.</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1,126,386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 </w:t>
            </w:r>
            <w:r>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VHCP Co-Investment Holdings III, LLC</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112,845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Venrock Healthcare Capital Partners EG, L.P.</w:t>
            </w:r>
            <w:r>
              <w:rPr>
                <w:rFonts w:ascii="Times New Roman;Times;Serif" w:hAnsi="Times New Roman;Times;Serif"/>
                <w:b w:val="false"/>
                <w:i w:val="false"/>
                <w:caps w:val="false"/>
                <w:smallCaps w:val="false"/>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5,683,848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Private Holdings (Cayman) Ltd.</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4,153,845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(10)</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SILV Fund, Ltd. </w:t>
            </w:r>
            <w:r>
              <w:rPr>
                <w:rFonts w:ascii="Times New Roman;Times;Serif" w:hAnsi="Times New Roman;Times;Serif"/>
                <w:position w:val="7"/>
                <w:sz w:val="16"/>
                <w:sz w:val="20"/>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2,307,690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(39)</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Squadron Master Fund LP</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1,615,383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(12)</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Boxer Capital Master Fund, LP</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1,615,383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Partners Master Fund, L.P.</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1,615,383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(14)</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Adage Capital Partners L.P.</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1,615,383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Superstring Capital Management LP</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461,541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(16)</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Woodline Master Fund LP</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61" w:type="dxa"/>
            <w:tcBorders/>
            <w:shd w:fill="FFFFFF" w:val="clear"/>
            <w:tcMar>
              <w:bottom w:w="0" w:type="dxa"/>
            </w:tcMar>
            <w:vAlign w:val="center"/>
          </w:tcPr>
          <w:p>
            <w:pPr>
              <w:pStyle w:val="TableContents"/>
              <w:bidi w:val="0"/>
              <w:spacing w:before="0" w:after="283"/>
              <w:jc w:val="right"/>
              <w:rPr/>
            </w:pPr>
            <w:r>
              <w:rPr/>
              <w:t>461,541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(17)</w:t>
            </w:r>
          </w:p>
        </w:tc>
      </w:tr>
      <w:tr>
        <w:trPr/>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Affinity Healthcare Fund, LP</w:t>
            </w:r>
            <w:r>
              <w:rPr>
                <w:rFonts w:ascii="Times New Roman;Times;Serif" w:hAnsi="Times New Roman;Times;Serif"/>
                <w:position w:val="7"/>
                <w:sz w:val="16"/>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461,541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entity to be formed and controlled by Lu Yang </w:t>
            </w:r>
            <w:r>
              <w:rPr>
                <w:rFonts w:ascii="Times New Roman;Times;Serif" w:hAnsi="Times New Roman;Times;Serif"/>
                <w:b w:val="false"/>
                <w:i w:val="false"/>
                <w:caps w:val="false"/>
                <w:smallCaps w:val="false"/>
                <w:position w:val="7"/>
                <w:sz w:val="16"/>
                <w:sz w:val="20"/>
              </w:rPr>
              <w:t>(19)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25,384,617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2026 Private Placement</w:t>
      </w:r>
    </w:p>
    <w:p>
      <w:pPr>
        <w:pStyle w:val="TextBody"/>
        <w:bidi w:val="0"/>
        <w:spacing w:before="0" w:after="0"/>
        <w:ind w:left="0" w:right="0" w:hanging="0"/>
        <w:jc w:val="left"/>
        <w:rPr>
          <w:caps w:val="false"/>
          <w:smallCaps w:val="false"/>
        </w:rPr>
      </w:pPr>
      <w:r>
        <w:rPr>
          <w:caps w:val="false"/>
          <w:smallCaps w:val="false"/>
        </w:rPr>
        <w:t> </w:t>
      </w:r>
    </w:p>
    <w:tbl>
      <w:tblPr>
        <w:tblW w:w="8209" w:type="dxa"/>
        <w:jc w:val="left"/>
        <w:tblInd w:w="0" w:type="dxa"/>
        <w:tblLayout w:type="fixed"/>
        <w:tblCellMar>
          <w:top w:w="0" w:type="dxa"/>
          <w:left w:w="0" w:type="dxa"/>
          <w:bottom w:w="28" w:type="dxa"/>
          <w:right w:w="0" w:type="dxa"/>
        </w:tblCellMar>
      </w:tblPr>
      <w:tblGrid>
        <w:gridCol w:w="4400"/>
        <w:gridCol w:w="60"/>
        <w:gridCol w:w="123"/>
        <w:gridCol w:w="2026"/>
        <w:gridCol w:w="60"/>
        <w:gridCol w:w="60"/>
        <w:gridCol w:w="1145"/>
        <w:gridCol w:w="335"/>
      </w:tblGrid>
      <w:tr>
        <w:trPr/>
        <w:tc>
          <w:tcPr>
            <w:tcW w:w="4400" w:type="dxa"/>
            <w:tcBorders>
              <w:bottom w:val="single" w:sz="12"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12" w:space="0" w:color="000000"/>
            </w:tcBorders>
            <w:vAlign w:val="center"/>
          </w:tcPr>
          <w:p>
            <w:pPr>
              <w:pStyle w:val="TableContents"/>
              <w:bidi w:val="0"/>
              <w:spacing w:before="0" w:after="283"/>
              <w:jc w:val="center"/>
              <w:rPr>
                <w:b/>
              </w:rPr>
            </w:pPr>
            <w:r>
              <w:rPr>
                <w:b/>
              </w:rPr>
              <w:t>Number of Ordinary</w:t>
              <w:br/>
              <w:t>Shares</w:t>
              <w:br/>
              <w:t>Being Offered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br/>
              <w:t>Ownership</w:t>
            </w:r>
            <w:r>
              <w:rPr>
                <w:rFonts w:ascii="Times New Roman;Times;Serif" w:hAnsi="Times New Roman;Times;Serif"/>
                <w:b/>
                <w:position w:val="7"/>
                <w:sz w:val="16"/>
                <w:sz w:val="20"/>
              </w:rPr>
              <w:t>(1)</w:t>
            </w:r>
          </w:p>
        </w:tc>
        <w:tc>
          <w:tcPr>
            <w:tcW w:w="335" w:type="dxa"/>
            <w:tcBorders/>
            <w:tcMar>
              <w:bottom w:w="0" w:type="dxa"/>
            </w:tcMar>
            <w:vAlign w:val="center"/>
          </w:tcPr>
          <w:p>
            <w:pPr>
              <w:pStyle w:val="TableContents"/>
              <w:bidi w:val="0"/>
              <w:spacing w:before="0" w:after="283"/>
              <w:jc w:val="left"/>
              <w:rPr/>
            </w:pPr>
            <w:r>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Soleus Capital Master Fund, L.P.</w:t>
            </w:r>
            <w:r>
              <w:rPr>
                <w:rFonts w:ascii="Times New Roman;Times;Serif" w:hAnsi="Times New Roman;Times;Serif"/>
                <w:b w:val="false"/>
                <w:i w:val="false"/>
                <w:caps w:val="false"/>
                <w:smallCaps w:val="false"/>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5,660,376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Cormorant Global Healthcare Master Fund, LP</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2026" w:type="dxa"/>
            <w:tcBorders/>
            <w:shd w:fill="FFFFFF" w:val="clear"/>
            <w:tcMar>
              <w:bottom w:w="0" w:type="dxa"/>
            </w:tcMar>
            <w:vAlign w:val="center"/>
          </w:tcPr>
          <w:p>
            <w:pPr>
              <w:pStyle w:val="TableContents"/>
              <w:bidi w:val="0"/>
              <w:spacing w:before="0" w:after="283"/>
              <w:jc w:val="right"/>
              <w:rPr/>
            </w:pPr>
            <w:r>
              <w:rPr/>
              <w:t>3,396,225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sz w:val="16"/>
              </w:rPr>
            </w:pPr>
            <w:r>
              <w:rPr>
                <w:sz w:val="16"/>
              </w:rPr>
              <w:t>(3)</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Perceptive Life Sciences Master Fund, Ltd</w:t>
            </w:r>
            <w:r>
              <w:rPr>
                <w:rFonts w:ascii="Times New Roman;Times;Serif" w:hAnsi="Times New Roman;Times;Serif"/>
                <w:b w:val="false"/>
                <w:i w:val="false"/>
                <w:caps w:val="false"/>
                <w:smallCaps w:val="false"/>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3,169,809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BioImpact Equities Fund, LP</w:t>
            </w:r>
            <w:r>
              <w:rPr>
                <w:rFonts w:ascii="Times New Roman;Times;Serif" w:hAnsi="Times New Roman;Times;Serif"/>
                <w:b w:val="false"/>
                <w:i w:val="false"/>
                <w:caps w:val="false"/>
                <w:smallCaps w:val="false"/>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GTM Capital Healthcare Fund, L.P. </w:t>
            </w:r>
            <w:r>
              <w:rPr>
                <w:rFonts w:ascii="Times New Roman;Times;Serif" w:hAnsi="Times New Roman;Times;Serif"/>
                <w:b w:val="false"/>
                <w:i w:val="false"/>
                <w:caps w:val="false"/>
                <w:smallCaps w:val="false"/>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MPM BioImpact Innovations Equities Master, LP </w:t>
            </w:r>
            <w:r>
              <w:rPr>
                <w:rFonts w:ascii="Times New Roman;Times;Serif" w:hAnsi="Times New Roman;Times;Serif"/>
                <w:b w:val="false"/>
                <w:i w:val="false"/>
                <w:caps w:val="false"/>
                <w:smallCaps w:val="false"/>
                <w:position w:val="7"/>
                <w:sz w:val="16"/>
                <w:sz w:val="20"/>
              </w:rPr>
              <w:t>(24)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821,205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BioImpact Equities Master Fund, LP</w:t>
            </w:r>
            <w:r>
              <w:rPr>
                <w:rFonts w:ascii="Times New Roman;Times;Serif" w:hAnsi="Times New Roman;Times;Serif"/>
                <w:b w:val="false"/>
                <w:i w:val="false"/>
                <w:caps w:val="false"/>
                <w:smallCaps w:val="false"/>
                <w:position w:val="7"/>
                <w:sz w:val="16"/>
                <w:sz w:val="20"/>
              </w:rPr>
              <w:t>(25)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310,230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Oncology Impact Fund 2, L.P.</w:t>
            </w:r>
            <w:r>
              <w:rPr>
                <w:rFonts w:ascii="Times New Roman;Times;Serif" w:hAnsi="Times New Roman;Times;Serif"/>
                <w:b w:val="false"/>
                <w:i w:val="false"/>
                <w:caps w:val="false"/>
                <w:smallCaps w:val="false"/>
                <w:position w:val="7"/>
                <w:sz w:val="16"/>
                <w:sz w:val="20"/>
              </w:rPr>
              <w:t>(26)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400,155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and Virology Fund, L.P.</w:t>
            </w:r>
            <w:r>
              <w:rPr>
                <w:rFonts w:ascii="Times New Roman;Times;Serif" w:hAnsi="Times New Roman;Times;Serif"/>
                <w:b w:val="false"/>
                <w:i w:val="false"/>
                <w:caps w:val="false"/>
                <w:smallCaps w:val="false"/>
                <w:position w:val="7"/>
                <w:sz w:val="16"/>
                <w:sz w:val="20"/>
              </w:rPr>
              <w:t>(27)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179,187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Point72 Associates, LLC</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2026" w:type="dxa"/>
            <w:tcBorders/>
            <w:shd w:fill="FFFFFF" w:val="clear"/>
            <w:tcMar>
              <w:bottom w:w="0" w:type="dxa"/>
            </w:tcMar>
            <w:vAlign w:val="center"/>
          </w:tcPr>
          <w:p>
            <w:pPr>
              <w:pStyle w:val="TableContents"/>
              <w:bidi w:val="0"/>
              <w:spacing w:before="0" w:after="283"/>
              <w:jc w:val="right"/>
              <w:rPr/>
            </w:pPr>
            <w:r>
              <w:rPr/>
              <w:t>2,943,396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ind w:left="0" w:right="0" w:hanging="180"/>
              <w:jc w:val="left"/>
              <w:rPr>
                <w:sz w:val="16"/>
              </w:rPr>
            </w:pPr>
            <w:r>
              <w:rPr>
                <w:sz w:val="16"/>
              </w:rPr>
              <w:t>(11)</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Private Holdings (Cayman) Ltd.</w:t>
            </w:r>
            <w:r>
              <w:rPr>
                <w:rFonts w:ascii="Times New Roman;Times;Serif" w:hAnsi="Times New Roman;Times;Serif"/>
                <w:position w:val="7"/>
                <w:sz w:val="16"/>
                <w:sz w:val="20"/>
              </w:rPr>
              <w:t xml:space="preserve">(10)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2026" w:type="dxa"/>
            <w:tcBorders/>
            <w:shd w:fill="CCEEFF" w:val="clear"/>
            <w:tcMar>
              <w:bottom w:w="0" w:type="dxa"/>
            </w:tcMar>
            <w:vAlign w:val="center"/>
          </w:tcPr>
          <w:p>
            <w:pPr>
              <w:pStyle w:val="TableContents"/>
              <w:bidi w:val="0"/>
              <w:spacing w:before="0" w:after="283"/>
              <w:jc w:val="right"/>
              <w:rPr/>
            </w:pPr>
            <w:r>
              <w:rPr/>
              <w:t>2,943,396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sz w:val="16"/>
              </w:rPr>
            </w:pPr>
            <w:r>
              <w:rPr>
                <w:sz w:val="16"/>
              </w:rPr>
              <w:t>(10)</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ADAR1 Partners, LP</w:t>
            </w:r>
            <w:r>
              <w:rPr>
                <w:rFonts w:ascii="Times New Roman;Times;Serif" w:hAnsi="Times New Roman;Times;Serif"/>
                <w:b w:val="false"/>
                <w:i w:val="false"/>
                <w:caps w:val="false"/>
                <w:smallCaps w:val="false"/>
                <w:position w:val="7"/>
                <w:sz w:val="16"/>
                <w:sz w:val="20"/>
              </w:rPr>
              <w:t>(28)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2,483,631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Spearhead Insurance Solutions IDF, LLC</w:t>
            </w:r>
            <w:r>
              <w:rPr>
                <w:rFonts w:ascii="Times New Roman;Times;Serif" w:hAnsi="Times New Roman;Times;Serif"/>
                <w:b w:val="false"/>
                <w:i w:val="false"/>
                <w:caps w:val="false"/>
                <w:smallCaps w:val="false"/>
                <w:position w:val="7"/>
                <w:sz w:val="16"/>
                <w:sz w:val="20"/>
              </w:rPr>
              <w:t>(29)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Octagon Investments Master Fund LP</w:t>
            </w:r>
            <w:r>
              <w:rPr>
                <w:rFonts w:ascii="Times New Roman;Times;Serif" w:hAnsi="Times New Roman;Times;Serif"/>
                <w:b w:val="false"/>
                <w:i w:val="false"/>
                <w:caps w:val="false"/>
                <w:smallCaps w:val="false"/>
                <w:position w:val="7"/>
                <w:sz w:val="16"/>
                <w:sz w:val="20"/>
              </w:rPr>
              <w:t>(30)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2,264,148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3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Series Trust</w:t>
            </w:r>
            <w:r>
              <w:rPr>
                <w:rFonts w:ascii="Times New Roman;Times;Serif" w:hAnsi="Times New Roman;Times;Serif"/>
                <w:b w:val="false"/>
                <w:i w:val="false"/>
                <w:caps w:val="false"/>
                <w:smallCaps w:val="false"/>
                <w:position w:val="7"/>
                <w:sz w:val="16"/>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1,698,111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Casdin Partners Master Fund, L.P.</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2026" w:type="dxa"/>
            <w:tcBorders/>
            <w:shd w:fill="FFFFFF" w:val="clear"/>
            <w:tcMar>
              <w:bottom w:w="0" w:type="dxa"/>
            </w:tcMar>
            <w:vAlign w:val="center"/>
          </w:tcPr>
          <w:p>
            <w:pPr>
              <w:pStyle w:val="TableContents"/>
              <w:bidi w:val="0"/>
              <w:spacing w:before="0" w:after="283"/>
              <w:jc w:val="right"/>
              <w:rPr/>
            </w:pPr>
            <w:r>
              <w:rPr/>
              <w:t>1,358,511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sz w:val="16"/>
              </w:rPr>
            </w:pPr>
            <w:r>
              <w:rPr>
                <w:sz w:val="16"/>
              </w:rPr>
              <w:t>(14)</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Persistent Asset Global Select Fund SPC</w:t>
            </w:r>
            <w:r>
              <w:rPr>
                <w:rFonts w:ascii="Times New Roman;Times;Serif" w:hAnsi="Times New Roman;Times;Serif"/>
                <w:b w:val="false"/>
                <w:i w:val="false"/>
                <w:caps w:val="false"/>
                <w:smallCaps w:val="false"/>
                <w:position w:val="7"/>
                <w:sz w:val="16"/>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Seligman Health Spectrum (Master) Fund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2026" w:type="dxa"/>
            <w:tcBorders/>
            <w:shd w:fill="FFFFFF" w:val="clear"/>
            <w:tcMar>
              <w:bottom w:w="0" w:type="dxa"/>
            </w:tcMar>
            <w:vAlign w:val="center"/>
          </w:tcPr>
          <w:p>
            <w:pPr>
              <w:pStyle w:val="TableContents"/>
              <w:bidi w:val="0"/>
              <w:spacing w:before="0" w:after="283"/>
              <w:jc w:val="right"/>
              <w:rPr/>
            </w:pPr>
            <w:r>
              <w:rPr/>
              <w:t>1,093,155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sz w:val="16"/>
              </w:rPr>
            </w:pPr>
            <w:r>
              <w:rPr>
                <w:sz w:val="16"/>
              </w:rPr>
              <w:t>(4)</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Woodline Master Fund LP</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2026" w:type="dxa"/>
            <w:tcBorders/>
            <w:shd w:fill="CCEEFF" w:val="clear"/>
            <w:tcMar>
              <w:bottom w:w="0" w:type="dxa"/>
            </w:tcMar>
            <w:vAlign w:val="center"/>
          </w:tcPr>
          <w:p>
            <w:pPr>
              <w:pStyle w:val="TableContents"/>
              <w:bidi w:val="0"/>
              <w:spacing w:before="0" w:after="283"/>
              <w:jc w:val="right"/>
              <w:rPr/>
            </w:pPr>
            <w:r>
              <w:rPr/>
              <w:t>905,658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sz w:val="16"/>
              </w:rPr>
            </w:pPr>
            <w:r>
              <w:rPr>
                <w:sz w:val="16"/>
              </w:rPr>
              <w:t>(17)</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DV Trading, LLC</w:t>
            </w:r>
            <w:r>
              <w:rPr>
                <w:rFonts w:ascii="Times New Roman;Times;Serif" w:hAnsi="Times New Roman;Times;Serif"/>
                <w:b w:val="false"/>
                <w:i w:val="false"/>
                <w:caps w:val="false"/>
                <w:smallCaps w:val="false"/>
                <w:position w:val="7"/>
                <w:sz w:val="16"/>
                <w:sz w:val="20"/>
              </w:rPr>
              <w:t>(33)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 Fleet Partners</w:t>
            </w:r>
            <w:r>
              <w:rPr>
                <w:rFonts w:ascii="Times New Roman;Times;Serif" w:hAnsi="Times New Roman;Times;Serif"/>
                <w:b w:val="false"/>
                <w:i w:val="false"/>
                <w:caps w:val="false"/>
                <w:smallCaps w:val="false"/>
                <w:position w:val="7"/>
                <w:sz w:val="16"/>
                <w:sz w:val="20"/>
              </w:rPr>
              <w:t>(34)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Squadron Master Fund LP</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2026" w:type="dxa"/>
            <w:tcBorders/>
            <w:shd w:fill="FFFFFF" w:val="clear"/>
            <w:tcMar>
              <w:bottom w:w="0" w:type="dxa"/>
            </w:tcMar>
            <w:vAlign w:val="center"/>
          </w:tcPr>
          <w:p>
            <w:pPr>
              <w:pStyle w:val="TableContents"/>
              <w:bidi w:val="0"/>
              <w:spacing w:before="0" w:after="283"/>
              <w:jc w:val="right"/>
              <w:rPr/>
            </w:pPr>
            <w:r>
              <w:rPr/>
              <w:t>679,245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see note</w:t>
            </w:r>
          </w:p>
        </w:tc>
        <w:tc>
          <w:tcPr>
            <w:tcW w:w="335" w:type="dxa"/>
            <w:tcBorders/>
            <w:shd w:fill="FFFFFF" w:val="clear"/>
            <w:tcMar>
              <w:bottom w:w="0" w:type="dxa"/>
            </w:tcMar>
            <w:vAlign w:val="center"/>
          </w:tcPr>
          <w:p>
            <w:pPr>
              <w:pStyle w:val="TableContents"/>
              <w:bidi w:val="0"/>
              <w:spacing w:before="0" w:after="283"/>
              <w:jc w:val="left"/>
              <w:rPr>
                <w:sz w:val="16"/>
              </w:rPr>
            </w:pPr>
            <w:r>
              <w:rPr>
                <w:sz w:val="16"/>
              </w:rPr>
              <w:t>(12)</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Kalehua Capital Partners LP</w:t>
            </w:r>
            <w:r>
              <w:rPr>
                <w:rFonts w:ascii="Times New Roman;Times;Serif" w:hAnsi="Times New Roman;Times;Serif"/>
                <w:b w:val="false"/>
                <w:i w:val="false"/>
                <w:caps w:val="false"/>
                <w:smallCaps w:val="false"/>
                <w:position w:val="7"/>
                <w:sz w:val="16"/>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495,822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Kalehua Equity Growth Master LP</w:t>
            </w:r>
            <w:r>
              <w:rPr>
                <w:rFonts w:ascii="Times New Roman;Times;Serif" w:hAnsi="Times New Roman;Times;Serif"/>
                <w:b w:val="false"/>
                <w:i w:val="false"/>
                <w:caps w:val="false"/>
                <w:smallCaps w:val="false"/>
                <w:position w:val="7"/>
                <w:sz w:val="16"/>
                <w:sz w:val="20"/>
              </w:rPr>
              <w:t>(36)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LifeScience, L.P.</w:t>
            </w:r>
            <w:r>
              <w:rPr>
                <w:rFonts w:ascii="Times New Roman;Times;Serif" w:hAnsi="Times New Roman;Times;Serif"/>
                <w:b w:val="false"/>
                <w:i w:val="false"/>
                <w:caps w:val="false"/>
                <w:smallCaps w:val="false"/>
                <w:position w:val="7"/>
                <w:sz w:val="16"/>
                <w:sz w:val="20"/>
              </w:rPr>
              <w:t>(37)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225,840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LifeScience Select, L.P.</w:t>
            </w:r>
            <w:r>
              <w:rPr>
                <w:rFonts w:ascii="Times New Roman;Times;Serif" w:hAnsi="Times New Roman;Times;Serif"/>
                <w:b w:val="false"/>
                <w:i w:val="false"/>
                <w:caps w:val="false"/>
                <w:smallCaps w:val="false"/>
                <w:position w:val="7"/>
                <w:sz w:val="16"/>
                <w:sz w:val="20"/>
              </w:rPr>
              <w:t>(38)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Superstring Capital Management LP</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2026" w:type="dxa"/>
            <w:tcBorders/>
            <w:shd w:fill="CCEEFF" w:val="clear"/>
            <w:tcMar>
              <w:bottom w:w="0" w:type="dxa"/>
            </w:tcMar>
            <w:vAlign w:val="center"/>
          </w:tcPr>
          <w:p>
            <w:pPr>
              <w:pStyle w:val="TableContents"/>
              <w:bidi w:val="0"/>
              <w:spacing w:before="0" w:after="283"/>
              <w:jc w:val="right"/>
              <w:rPr/>
            </w:pPr>
            <w:r>
              <w:rPr/>
              <w:t>226,413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see note</w:t>
            </w:r>
          </w:p>
        </w:tc>
        <w:tc>
          <w:tcPr>
            <w:tcW w:w="335" w:type="dxa"/>
            <w:tcBorders/>
            <w:shd w:fill="CCEEFF" w:val="clear"/>
            <w:tcMar>
              <w:bottom w:w="0" w:type="dxa"/>
            </w:tcMar>
            <w:vAlign w:val="center"/>
          </w:tcPr>
          <w:p>
            <w:pPr>
              <w:pStyle w:val="TableContents"/>
              <w:bidi w:val="0"/>
              <w:spacing w:before="0" w:after="283"/>
              <w:jc w:val="left"/>
              <w:rPr>
                <w:sz w:val="16"/>
              </w:rPr>
            </w:pPr>
            <w:r>
              <w:rPr>
                <w:sz w:val="16"/>
              </w:rPr>
              <w:t>(16)</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218,578,427 total ordinary shares, which consists of (i) 193,193,810 ordinary shares of the Company issued and outstanding as of the date of September 11, 2026 and (ii) 25,384,617 ordinary shares to be issued to an entity to be formed and controlled by Lu Yang.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923,076 Class A ordinary shares held by Crum Creek Holding Limited. The registered address of Crum Creek Holding Limited is Sea Meadow House, P.O. Box 116,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11,934,687 Class A ordinary shares (representing 5.46% of total outstanding shares of the Company as of April 21, 2026), consisting of (i) 8,538,462 Class A ordinary shares acquired and 3,396,225 Class A ordinary shares acquired by Cormorant Global Healthcare Master Fund, LP in February 2026 Private Placement and April 2026 Private Placement, respectively. The registered address of Cormorant Global Healthcare Master Fund, LP. is 200 Clarendon Street, 52nd Floor Boston, MA 02116.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7,554,693 Class A ordinary shares (representing 3.46% of total outstanding shares of the Company as of April 21, 2026), consisting of (i) 6,461,538 Class A ordinary shares and (ii) 1,093,155 Class A ordinary shares acquired by Seligman Health Spectrum (Master) Fund, in February 2026 Private Placement and April 2026 Private Placement, respectively. The registered address of Seligman Health Spectrum (Master) Fund is 290 Congress Street, Boston, MA 02210, Attn: Asset Management Legal.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773,928 Class A ordinary shares held by Seligman Tech Spectrum (Master) Fund. The registered address of Seligman Tech Spectrum (Master) Fund is 290 Congress Street, Boston, MA 02210.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1,302,996 Class A ordinary shares held by Seligman Tech Spectrum Offshore Fund. The registered address of Seligman Tech Spectrum Offshore Fund is 290 Congress Street, Boston, MA 02210.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1,126,386 Class A ordinary shares held by Venrock Healthcare Capital Partners III, L.P. The registered address of Venrock Healthcare Capital Partners III, L.P. is 7 Bryant Park, 23rd Floor, New York, NY 10018 USA.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112,845 Class A ordinary shares held by VHCP Co-Investment Holdings III, LLC. The registered address of VHCP Co-Investment Holdings III, LLC is 7 Bryant Park, 23rd Floor, New York, NY 10018 USA.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5,683,848 Class A ordinary shares held by Venrock Healthcare Capital Partners EG, L.P. in February 2026. The registered address of Venrock Healthcare Capital Partners EG, L.P. is 7 Bryant Park, 23rd Floor, New York, NY 10018 USA.</w:t>
            </w:r>
          </w:p>
        </w:tc>
      </w:tr>
      <w:tr>
        <w:trPr/>
        <w:tc>
          <w:tcPr>
            <w:tcW w:w="318"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both"/>
              <w:rPr/>
            </w:pPr>
            <w:r>
              <w:rPr/>
              <w:t> </w:t>
            </w:r>
          </w:p>
        </w:tc>
      </w:tr>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7,097,241 Class A ordinary shares (representing 3.25% of total outstanding shares of the Company as of April 21, 2026), consisting of (i) 4,153,845 Class A ordinary shares and (ii) 2,943,396 Class A ordinary shares acquired by Atlas Private Holdings (Cayman) Ltd in February 2026 Private Placement and April Private Placement, respectively. The registered address of Atlas Private Holdings (Cayman) Ltd. is 444 West Lake Street, 50th Floor, Chicago, IL 60606 c/o Balyasny Asset Management L.P.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2,943,396 Class A ordinary shares acquired by Point72 Associates, LLC in February 2026 Private Placement and April 2026 Private Placement, respectively. The registered address of Point72 Associates, LLC is c/o Point72 Asset Management, 72 Cumming Point Road, Stamford, CT 06902.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2,294,628 Class A ordinary shares (representing 1.05% of total outstanding shares of the Company as of April 21, 2026), consisting of (i) 1,615,383 Class A ordinary shares and (ii) 679,245 Class A ordinary shares acquired by Squadron Master Fund LP in February 2026 Private Placement and April 2026 Private Placement, respectively. The registered address of Squadron Master Fund LP is 999 Oakmont Plaza Dr, Suite 600, Westmont IL 60559.</w:t>
            </w:r>
          </w:p>
        </w:tc>
      </w:tr>
      <w:tr>
        <w:trPr/>
        <w:tc>
          <w:tcPr>
            <w:tcW w:w="319"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1,615,383 Class A ordinary shares held by Boxer Capital Master Fund, LP in February 2026. The registered address of Boxer Capital Master Fund, LP is 12860 El Camino Real, Suite 300, San Diego, California, 92130, USA.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2,973,894 Class A ordinary shares (representing 1.36% of total outstanding shares of the Company as of April 21, 2026), consisting of (i) 1,615,383 Class A ordinary shares and 1,358,511 Class A ordinary shares acquired by Casdin Partners Master Fund, L.P. in February 2026 and April 2026, respectively. The registered address of Casdin Partners Master Fund, L.P. is 1350 Avenue of Americas, Suite 2600, New York, New York 10019.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1,615,383 Class A ordinary shares held by Adage Capital Partners L.P. in February 2026The registered address of Adage Capital Partners L.P. is 200 Clarendon Street, 52nd Floor Boston, MA 02116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687,954 Class A ordinary shares (representing less than 1% of total outstanding shares of the Company as of April 21, 2026), consisting of (i) 461,541 Class A ordinary shares and (ii) 226,413 Class A ordinary shares acquired by Superstring Capital Management LP in February 2026 Private Placement and April 2026 Private Placement, respectively. The registered address of Superstring Capital Management LP. is 150 E 52nd St, Suite 5004,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 aggregate of 1,367,199 Class A ordinary shares (representing less than 1% of total outstanding shares of the Company as of April 21, 2026), consisting of (i) 461,541 Class A ordinary shares and (ii) 905,658 Class A ordinary share acquired by Woodline Master Fund LP in February 2026. The registered address of Woodline Master Fund LP. is 4 Embarcadero Center, Suite 3450, San Francisco, CA 94111.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461,541 Class A ordinary shares held by Affinity Healthcare Fund, LP in February 2026The registered address of Affinity Healthcare Fund, LP. is 450 Park Avenue, Suite 1403, New York, NY 10022.</w:t>
            </w:r>
          </w:p>
        </w:tc>
      </w:tr>
      <w:tr>
        <w:trPr/>
        <w:tc>
          <w:tcPr>
            <w:tcW w:w="334" w:type="dxa"/>
            <w:tcBorders/>
            <w:vAlign w:val="center"/>
          </w:tcPr>
          <w:p>
            <w:pPr>
              <w:pStyle w:val="TableContents"/>
              <w:bidi w:val="0"/>
              <w:spacing w:before="0" w:after="283"/>
              <w:jc w:val="both"/>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25,384,617 Class A ordinary share to be issued to an entity to be formed and controlled by Lu Yang, our chairman and chief executive officer, upon satisfaction of the closing conditions of the securities purchase agreement.</w:t>
            </w:r>
          </w:p>
        </w:tc>
      </w:tr>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5,660,376 Class A ordinary shares held by Soleus Capital Master Fund, L.P. The registered address of Soleus Capital Master Fund, L.P. is 100 Field Point Road, Suite 200, Greenwich CT 06830.</w:t>
            </w:r>
          </w:p>
        </w:tc>
      </w:tr>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3,169,809 Class A ordinary shares held by Perceptive Life Sciences Master Fund, Ltd. The registered address of Perceptive Life Sciences Master Fund, Ltd. is 51 Astor Place NY, NY 10003.</w:t>
            </w:r>
          </w:p>
        </w:tc>
      </w:tr>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947,022 Class A ordinary shares held by BioImpact Equities Fund, LP. The registered address of BioImpact Equities Fund, LP. is 399 Boylston Street, Suite 1100, Boston, MA 02116.</w:t>
            </w:r>
          </w:p>
        </w:tc>
      </w:tr>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398,802 Class A ordinary shares held by GTM Capital Healthcare Fund, L.P. The registered address of GTM Capital Healthcare Fund, L.P. is 399 Boylston Street, Suite 1100, Boston, MA 02116.</w:t>
            </w:r>
          </w:p>
        </w:tc>
      </w:tr>
      <w:tr>
        <w:trPr/>
        <w:tc>
          <w:tcPr>
            <w:tcW w:w="334" w:type="dxa"/>
            <w:tcBorders/>
            <w:vAlign w:val="center"/>
          </w:tcPr>
          <w:p>
            <w:pPr>
              <w:pStyle w:val="TableContents"/>
              <w:bidi w:val="0"/>
              <w:spacing w:before="0" w:after="283"/>
              <w:jc w:val="left"/>
              <w:rPr/>
            </w:pPr>
            <w:r>
              <w:rPr/>
              <w:t> </w:t>
            </w:r>
          </w:p>
        </w:tc>
        <w:tc>
          <w:tcPr>
            <w:tcW w:w="9871" w:type="dxa"/>
            <w:tcBorders/>
            <w:vAlign w:val="center"/>
          </w:tcPr>
          <w:p>
            <w:pPr>
              <w:pStyle w:val="TableContents"/>
              <w:bidi w:val="0"/>
              <w:spacing w:before="0" w:after="283"/>
              <w:jc w:val="both"/>
              <w:rPr/>
            </w:pPr>
            <w:r>
              <w:rPr/>
              <w:t> </w:t>
            </w:r>
          </w:p>
        </w:tc>
      </w:tr>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821,205 Class A ordinary shares held by MPM BioImpact Innovations Equities Master, LP. The registered address of MPM BioImpact Innovations Equities Master, LP. is 399 Boylston Street, Suite 1100, Boston, MA 02116.</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310,230 Class A ordinary shares held by BioImpact Equities Master Fund, LP. The registered address of BioImpact Equities Master Fund, LP. is 399 Boylston Street, Suite 1100, Boston, MA 02116.</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400,155 Class A ordinary shares held by Oncology Impact Fund 2, L.P. The registered address of Oncology Impact Fund 2, L.P. is 399 Boylston Street, Suite 1100, Boston, MA 02116.</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179,187 Class A ordinary shares held by New Technologies and Virology Fund, L.P. The registered address of New Technologies and Virology Fund, L.P. is 399 Boylston Street, Suite 1100, Boston, MA 02116.</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2,483,631 Class A ordinary shares held by ADAR1 Partners, LP. The registered address of ADAR1 Partners, LP. is 3503 Wild Cherry Drive, Building 9, Austin, TX 78738.</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346,557 Class A ordinary shares held by Spearhead Insurance Solutions IDF, LLC. The registered address of Spearhead Insurance Solutions IDF, LLC is 3828 Kennet Pike, Suite 202 Greenville, DE 19807.</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2,264,148 Class A ordinary shares held by Octagon Investments Master Fund LP. The registered address of Octagon Investments Master Fund LP is 654 Madison Avenue, 21st Floor New York, NY 10065.</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1,698,111 Class A ordinary shares held by Mutual Fund Series Trust, on behalf of Eventide Healthcare &amp; Life Sciences Fund. The registered address of Mutual Fund Series Trust is U.S. Bank N.A., Attn: Courtney Goetsch 111 Fillmore Ave-E EP-MN-WS2N St. Paul, MN 55107.</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38,919 Class A ordinary shares held by Persistent Asset Global Select Fund SPC ON BEHALF OF AND for the account of Persistent Asset X Segregated Portfolio by Columbia Management Investment Advisers, LLC, in its capacity as adviser to the Fund. The registered address of Persistent Asset Global Select Fund SPC is 290 Congress Street, Boston, MA 02210, Attn: Asset Management Legal.</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339,621 Class A ordinary shares held by DV Trading, LLC. The registered address of DV Trading, LLC is 425 S. Financial Place, Suite 2800, Chicago, IL 60605.</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339,624 Class A ordinary shares held by Seven Fleet Partners. The registered address of Seven Fleet Partners is 960 Clemente Way Mountain View CA 94043.</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495,822 Class A ordinary shares held by Kalehua Capital Partners LP. The registered address of Kalehua Capital Partners LP is 3819 Maple Ave., Dallas, TX 75219.</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183,423 Class A ordinary shares held by Kalehua Equity Growth Master LP. The registered address of Kalehua Equity Growth Master LP is 3819 Maple Ave., Dallas, TX 75219.</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225,840 Class A ordinary shares held by DAFNA LifeScience, L.P. The registered address of DAFNA LifeScience, L.P. is 10990 Wilshire Blvd #1400, Los Angeles, CA 90024.</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113,760 Class A ordinary shares held by DAFNA LifeScience Select, L.P. The registered address of DAFNA LifeScience Select, L.P. is 10990 Wilshire Blvd #1400, Los Angeles, CA 90024.</w:t>
            </w:r>
          </w:p>
        </w:tc>
      </w:tr>
      <w:tr>
        <w:trPr/>
        <w:tc>
          <w:tcPr>
            <w:tcW w:w="314"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2,307,690 Class A ordinary shares held by SILV Fund, Ltd. Sirenia Capital Management LP (“Sirenia”) is the investment manager of SILV Fund, Ltd. and as such has investment and voting power with respect to the securities held by SILV Fund, Ltd. Sirenia Capital Management GP LLC (“Sirenia GP”) is the general partner of Sirenia. Alex Silverstein is the managing member of Sirenia GP. Each of SILV Fund, Ltd., Sirenia GP and Mr. Silverstein disclaims beneficial ownership over such securities. The address for SILV Fund, Ltd. is c/o Sirenia Capital Management LP, 1674 Meridian Avenue, Suite 320, Miami Beach, FL 33139.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intermediaries through whom such securities are sold may be deemed “underwriters” within the meaning of the Securities Act with respect to the securities offered by this prospectus, and any profits realized or commissions received may be deemed underwriting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selling shareholders not named in this prospectus will not be able to use this prospectus for resales until they are named in the table above by prospectus supplement or post-effective amendment. Transferees, successors and donees of identified selling shareholders will not be able to use this prospectus for resales until they are named in the table above by prospectus supplement or post-effective amendment. If required, we will add transferees, successors and donees by prospectus supplement in instances where the transferee, successor or donee has acquired its securities from holders named in this prospectus after the effective date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Information—10.E. Taxation” in our annual report on Form 20-F for the fiscal year ended December 31, 2025,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expenses in connection with this offering, all of which will be paid by us. All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3680"/>
        <w:gridCol w:w="60"/>
        <w:gridCol w:w="365"/>
        <w:gridCol w:w="125"/>
        <w:gridCol w:w="75"/>
      </w:tblGrid>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Industry Regulatory Authority fees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Printing and postage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Miscellaneous expenses</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36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Han Kun Law Offices LLP with respect to certain legal matters of U.S. federal securities and New York State law. The validity of the securities offered in this offering and certain other legal matters as to Singapore law will be passed upon for us by Rajah &amp; Tann Singapore LLP and T&amp;C Law Firm with respect to matters governed by PRC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Adlai Nortye Group Ltd. as of December 31, 2025 and 2024 and for each of the years ended December 31, 2025 and 2024 incorporated by reference in this prospectus by reference to our annual report on Form 20-F for the year ended December 31, 2025, have been so incorporated in reliance on the report of BDO China Shu Lun Pan Certified Public Accountants LLP, an independent registered public accounting firm, given on the authority of said firm as experts in auditing and accounting.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operations and comprehensive loss of Adlai Nortye Group Ltd. (the “Company”), and changes in shareholders’ equity and cash flows for the year ended December 31, 2023, and the related notes (collectively referred to as the “consolidated financial statements”) incorporated by reference in this prospectus by reference to our annual report on Form 20-F for the year ended December 31, 2025, have been so incorporated in reliance on the report of Mazars USA LLP, an independent registered public accounting firm, given on the authority of said firm as experts in auditing and accounting.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that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45"/>
        <w:gridCol w:w="92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29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13">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filed with the SEC on April 10,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both"/>
              <w:rPr/>
            </w:pPr>
            <w:r>
              <w:rPr>
                <w:rFonts w:ascii="Times New Roman;Times;Serif" w:hAnsi="Times New Roman;Times;Serif"/>
                <w:sz w:val="20"/>
              </w:rPr>
              <w:t xml:space="preserve">our reports of foreign private issuer on Form 6-K filed with the SEC on </w:t>
            </w:r>
            <w:hyperlink r:id="rId14">
              <w:r>
                <w:rPr>
                  <w:rStyle w:val="InternetLink"/>
                  <w:rFonts w:ascii="Times New Roman;Times;Serif" w:hAnsi="Times New Roman;Times;Serif"/>
                  <w:sz w:val="20"/>
                </w:rPr>
                <w:t>April 16, 2026</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July 17, 2026</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August 3, 2026</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August 14, 2026</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August 19, 2026</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August 26, 2026</w:t>
              </w:r>
            </w:hyperlink>
            <w:r>
              <w:rPr>
                <w:rFonts w:ascii="Times New Roman;Times;Serif" w:hAnsi="Times New Roman;Times;Serif"/>
                <w:sz w:val="20"/>
              </w:rPr>
              <w:t xml:space="preserve"> and </w:t>
            </w:r>
            <w:hyperlink r:id="rId20">
              <w:r>
                <w:rPr>
                  <w:rStyle w:val="InternetLink"/>
                  <w:rFonts w:ascii="Times New Roman;Times;Serif" w:hAnsi="Times New Roman;Times;Serif"/>
                  <w:sz w:val="20"/>
                </w:rPr>
                <w:t>September 8, 2026</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statements on Form 8-A, filed with the SEC on </w:t>
            </w:r>
            <w:hyperlink r:id="rId21">
              <w:r>
                <w:rPr>
                  <w:rStyle w:val="InternetLink"/>
                  <w:rFonts w:ascii="Times New Roman;Times;Serif" w:hAnsi="Times New Roman;Times;Serif"/>
                  <w:sz w:val="20"/>
                </w:rPr>
                <w:t>August 7, 2023</w:t>
              </w:r>
            </w:hyperlink>
            <w:r>
              <w:rPr>
                <w:rFonts w:ascii="Times New Roman;Times;Serif" w:hAnsi="Times New Roman;Times;Serif"/>
                <w:sz w:val="20"/>
              </w:rPr>
              <w:t xml:space="preserve"> and </w:t>
            </w:r>
            <w:hyperlink r:id="rId22">
              <w:r>
                <w:rPr>
                  <w:rStyle w:val="InternetLink"/>
                  <w:rFonts w:ascii="Times New Roman;Times;Serif" w:hAnsi="Times New Roman;Times;Serif"/>
                  <w:sz w:val="20"/>
                </w:rPr>
                <w:t>August 18, 2023</w:t>
              </w:r>
            </w:hyperlink>
            <w:r>
              <w:rPr>
                <w:rFonts w:ascii="Times New Roman;Times;Serif" w:hAnsi="Times New Roman;Times;Serif"/>
                <w:sz w:val="20"/>
              </w:rPr>
              <w:t xml:space="preserve">, which incorporates by reference the description of the Registrant’s ordinary shares set forth in the Registrant’s Registration Statement on </w:t>
            </w:r>
            <w:hyperlink r:id="rId23">
              <w:r>
                <w:rPr>
                  <w:rStyle w:val="InternetLink"/>
                  <w:rFonts w:ascii="Times New Roman;Times;Serif" w:hAnsi="Times New Roman;Times;Serif"/>
                  <w:sz w:val="20"/>
                </w:rPr>
                <w:t>Form F-1</w:t>
              </w:r>
            </w:hyperlink>
            <w:r>
              <w:rPr>
                <w:rFonts w:ascii="Times New Roman;Times;Serif" w:hAnsi="Times New Roman;Times;Serif"/>
                <w:sz w:val="20"/>
              </w:rPr>
              <w:t xml:space="preserve"> (Registration No. 333-273465), as amended, originally filed with the SEC on July 27, 2023, including any amendments or reports filed for the purpose of updating such description, and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2025, filed with the SEC on April 10, 2026 contains a description of our business and audited consolidated financial statements with a report by our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Robinson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Robinson 77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068896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+1 848 230 7430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 xml:space="preserve">SPECIAL NOTE REGARDING THE CONTINUATION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29, 2026, the Company changed its jurisdiction of incorporation from the Cayman Islands to Singapore through a transaction known as a continuation pursuant to Article 171 of the Articles of Association of the Company in force at that time and registered by way of continuation as a public company limited by shares in Singapore by way of transfer of registration under Part 10A of the Companies Act 1967 (as revised) of Singapore (the “Continuation”) and changed its legal English name from “Adlai Nortye Ltd.” to “Adlai Nortye Group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was effected in the manner described in our foreign private issuer report on Form 6-K, which was filed with the U.S. Securities and Exchange Commission (the “SEC”) on August 19, 2026. The Continuation became effective on July 29, 2026 upon the Company’s registration with the Accounting and Corporate Regulatory Authority of Singapore. Thereafter, the Company became subject to the laws of Singapore, its Singapore Constitution (analogous to memorandum and articles of association under the Cayman Islands law). The Company was deregistered in the Cayman Islands as of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did not interrupt the corporate existence or operations of the Company or the listing of the American Depositary Shares (“ADSs”) on the Nasdaq Global Select Market (“Nasdaq”), each representing 3 Class A ordinary shares (the “Ordinary Share”). Each outstanding Ordinary Share of Adlai Nortye Ltd. at the time of the effectiveness of the Continuation became an Ordinary Share of Adlai Nortye Group Ltd. Following the completion of the Continuation, the ADSs, each representing 3 Class A Ordinary Shares, continue to be listed and traded on Nasdaq under the trading symbol “ANL”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registered in Singapore, as a public company limited by shares, in order to enjoy the following benefits: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Singapore. These disadvantages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Singapore has a different body of securities laws as compared to the United States and investors may need to familiarize themselves with a separate regime of regulations and standards of disclosure;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under the laws of the United States, Singapore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Rajah &amp; Tann Singapore LLP, our counsel as to Singapore law, has advised us that the courts of the Singapore are unlikely (i) to recognize or enforce against us or our directors or officers judgments of courts of the United States predicated upon the civil liability provisions of the securities laws of the United States or any State, which will amount to a direct or indirect enforcement of a penal, revenue or public law; and (ii) in original actions brought in Singapore, to impose liabilities against us or our directors or officers predicated upon the civil liability provisions of the securities laws of the United States or any State, which will amount to a direct or indirect enforcement of a penal, revenue or public law. In those circumstances, although there is no applicable statutory enforcement in Singapore of judgments obtained in the United States, the courts of Singapore will generally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Singapore, such judgment must be final and conclusive and for a liquidated sum, and must not be direct or indirect enforcement of a penal, revenue or public law of a foreign state, inconsistent with a Singapore judgment in respect of the same matter, impeachable on the grounds of fraud or obtained in a manner, and or be of a kind the enforcement of which is, contrary to natural justice or the public policy of Singapore (awards of punitive or multiple damages may well be held to be contrary to public policy). A Singapore Court may stay enforcement proceedings if concurrent proceedings are being brought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T&amp;C Law Firm, our counsel as to PRC law, has advised us that there is uncertainty as to whether the courts of China, would: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the securities laws of the United States or any state in the United States so far as the liabilities imposed by those provisions are penal in nature;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civil liability provisions of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PRC legal counsel, that there is uncertainty as to whether the courts of the PRC would enforce judgments of U.S. courts or Singapore courts obtained against us or these persons predicated upon the civil liability provisions of the U.S. federal and state securities laws or Singapore laws. T&amp;C Law Firm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Singapore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financial, reputational or other harm to us or material breaches of the employment agreement. We may also terminate an executive officer’s employment without cause upon 60-day prior written notice. In such case of termination by us, we will provide severance payments to the executive officer as may be agreed between the executive officer and us. The executive officer may terminate the employment at any time with a 60-day prior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the term of the employment and at all times thereafter,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the suppliers, clients, direct or end customers or contacts or other persons or entities introduced to the executive officers in his or her capacity as our representative for the purpose of doing business of the same or of a similar nature to our business or doing business that will harm our business relationships with the foregoing persons or entities; (ii) assume employment with or provide services to any of our competitors, or engage, whether as principal, partner, licensor or otherwise, any of our competitors, without our express consent; (iii) seek, directly or indirectly, to solicit the employment or services of, or hire or engage, any person who is known to be employed or engaged by us; or (iv) otherwise interfere with our business or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II-3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the Form F-3.</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Constitution of the Registrant (registered on July 29, 2026) (incorporated herein by reference as Exhibit 99.1 filed with the Report of Foreign Private Issuer on Form 6-K on August 19, 2026</w:t>
              </w:r>
            </w:hyperlink>
            <w:r>
              <w:rPr/>
              <w:t>)</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Specimen American Depositary Receipt (included in Exhibit 4.2) (incorporated herein by reference as Exhibit 4.1 filed with the Registration Statement on Form F-1 (File No. 333-273465), initially filed on July 27,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Form of Deposit Agreement, among the Registrant, the depositary and the owners and holders of American Depositary Shares issued thereunder (incorporated herein by reference as Exhibit 4.3 filed with the Registration Statement on Form F-1 (File No. 333-273465), initially filed on July 27,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Security</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Warranty Agreement and Warrant Certificate</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 and Unit Certificate</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81202ex4-6.htm">
              <w:r>
                <w:rPr>
                  <w:rStyle w:val="InternetLink"/>
                  <w:rFonts w:ascii="Times New Roman;Times;Serif" w:hAnsi="Times New Roman;Times;Serif"/>
                  <w:sz w:val="20"/>
                </w:rPr>
                <w:t>Form of Indenture</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81202ex5-1.htm">
              <w:r>
                <w:rPr>
                  <w:rStyle w:val="InternetLink"/>
                  <w:rFonts w:ascii="Times New Roman;Times;Serif" w:hAnsi="Times New Roman;Times;Serif"/>
                  <w:sz w:val="20"/>
                </w:rPr>
                <w:t>Opinion of Rajah &amp; Tann Singapore LLP</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81202ex23-1.htm">
              <w:r>
                <w:rPr>
                  <w:rStyle w:val="InternetLink"/>
                  <w:rFonts w:ascii="Times New Roman;Times;Serif" w:hAnsi="Times New Roman;Times;Serif"/>
                  <w:sz w:val="20"/>
                </w:rPr>
                <w:t>Consent of BDO China Shu Lun Pan Certified Public Accountants LLP</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81202ex23-2.htm">
              <w:r>
                <w:rPr>
                  <w:rStyle w:val="InternetLink"/>
                  <w:rFonts w:ascii="Times New Roman;Times;Serif" w:hAnsi="Times New Roman;Times;Serif"/>
                  <w:sz w:val="20"/>
                </w:rPr>
                <w:t>Consent of Mazars USA LLP</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81202ex5-1.htm">
              <w:r>
                <w:rPr>
                  <w:rStyle w:val="InternetLink"/>
                  <w:rFonts w:ascii="Times New Roman;Times;Serif" w:hAnsi="Times New Roman;Times;Serif"/>
                  <w:sz w:val="20"/>
                </w:rPr>
                <w:t>Consent of Rajah &amp; Tann Singapore LLP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a_026">
              <w:r>
                <w:rPr>
                  <w:rStyle w:val="InternetLink"/>
                  <w:rFonts w:ascii="Times New Roman;Times;Serif" w:hAnsi="Times New Roman;Times;Serif"/>
                  <w:sz w:val="20"/>
                </w:rPr>
                <w:t>Power of Attorney (included on signature page)</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under the Trust Indenture Act of 1939 of the Trustee under the Debt Securities Indenture</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40"/>
        <w:gridCol w:w="141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previously.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7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filed pursuant to Section 13(a) or 15(d) of the Securities Exchange Act of 1934, as amended, and incorporated herein by reference.</w:t>
            </w:r>
          </w:p>
        </w:tc>
      </w:tr>
      <w:tr>
        <w:trPr/>
        <w:tc>
          <w:tcPr>
            <w:tcW w:w="27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2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necessary, on electronic Form 305b2 pursuant to Section 305(b)(2) of the Trust Indenture Act of 1939.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Post Effective Amendment No.1 to registration statement to be signed on its behalf by the undersigned, thereunto duly authorized, in Hangzhou, People’s Republic of China, on September 11, 2026.</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65"/>
        <w:gridCol w:w="590"/>
        <w:gridCol w:w="1955"/>
      </w:tblGrid>
      <w:tr>
        <w:trPr/>
        <w:tc>
          <w:tcPr>
            <w:tcW w:w="7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6"/>
      <w:bookmarkEnd w:id="26"/>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Yang Lu, as his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the Post Effective Amendment No.1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Post Effective Amendment No.1 to this registration statement has been signed by the following persons in the capacities and on September 11, 2026.</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28" w:type="dxa"/>
          <w:right w:w="0" w:type="dxa"/>
        </w:tblCellMar>
      </w:tblPr>
      <w:tblGrid>
        <w:gridCol w:w="1865"/>
        <w:gridCol w:w="60"/>
        <w:gridCol w:w="5105"/>
      </w:tblGrid>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51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Yang Lu</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Chairman of the Board of 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Yang Lu</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(Principal Executive Officer)</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Xiaofeng (Alex) Ye</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Xiaofeng (Alex) Ye</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Ping Ji</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Ping Ji</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Lars Erik Birgerson</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Lars Erik Birgerson</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Roger Sawhney</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Roger Sawhney</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Shaorong Liu</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Shaorong Liu</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Ming Lun Alan Tse</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Ming Lun Alan Tse</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Baozhong Wei</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 </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Baozhong Wei</w:t>
            </w:r>
          </w:p>
        </w:tc>
        <w:tc>
          <w:tcPr>
            <w:tcW w:w="60" w:type="dxa"/>
            <w:tcBorders/>
            <w:tcMar>
              <w:bottom w:w="0" w:type="dxa"/>
            </w:tcMar>
            <w:vAlign w:val="center"/>
          </w:tcPr>
          <w:p>
            <w:pPr>
              <w:pStyle w:val="TableContents"/>
              <w:bidi w:val="0"/>
              <w:spacing w:before="0" w:after="283"/>
              <w:jc w:val="left"/>
              <w:rPr/>
            </w:pPr>
            <w:r>
              <w:rPr/>
              <w:t> </w:t>
            </w:r>
          </w:p>
        </w:tc>
        <w:tc>
          <w:tcPr>
            <w:tcW w:w="510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Adlai Nortye Group Ltd., has signed Post Effective Amendment No.1 to this registration statement thereto in New York, United States of America on September 11, 2026.</w:t>
      </w:r>
    </w:p>
    <w:p>
      <w:pPr>
        <w:pStyle w:val="TextBody"/>
        <w:bidi w:val="0"/>
        <w:spacing w:before="0" w:after="0"/>
        <w:ind w:left="0" w:right="0" w:hanging="0"/>
        <w:jc w:val="left"/>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1015"/>
        <w:gridCol w:w="1569"/>
      </w:tblGrid>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USA Inc.</w:t>
            </w:r>
          </w:p>
        </w:tc>
      </w:tr>
      <w:tr>
        <w:trPr/>
        <w:tc>
          <w:tcPr>
            <w:tcW w:w="75"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481202ex4-6.htm"/>
      <w:bookmarkStart w:id="28" w:name="ksea030481202ex46"/>
      <w:bookmarkEnd w:id="27"/>
      <w:bookmarkEnd w:id="28"/>
      <w:r>
        <w:rPr>
          <w:rFonts w:ascii="Times New Roman;Times;Serif" w:hAnsi="Times New Roman;Times;Serif"/>
          <w:b/>
          <w:i w:val="false"/>
          <w:caps w:val="false"/>
          <w:smallCaps w:val="false"/>
          <w:sz w:val="20"/>
        </w:rPr>
        <w:t>Exhibit 4.6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Adlai Nortye Group Ltd.,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819" w:type="dxa"/>
        <w:jc w:val="left"/>
        <w:tblInd w:w="0" w:type="dxa"/>
        <w:tblLayout w:type="fixed"/>
        <w:tblCellMar>
          <w:top w:w="0" w:type="dxa"/>
          <w:left w:w="0" w:type="dxa"/>
          <w:bottom w:w="0" w:type="dxa"/>
          <w:right w:w="0" w:type="dxa"/>
        </w:tblCellMar>
      </w:tblPr>
      <w:tblGrid>
        <w:gridCol w:w="1465"/>
        <w:gridCol w:w="7839"/>
        <w:gridCol w:w="515"/>
      </w:tblGrid>
      <w:tr>
        <w:trPr/>
        <w:tc>
          <w:tcPr>
            <w:tcW w:w="1465" w:type="dxa"/>
            <w:tcBorders/>
            <w:vAlign w:val="center"/>
          </w:tcPr>
          <w:p>
            <w:pPr>
              <w:pStyle w:val="TableContents"/>
              <w:bidi w:val="0"/>
              <w:spacing w:before="0" w:after="283"/>
              <w:jc w:val="left"/>
              <w:rPr/>
            </w:pPr>
            <w:r>
              <w:rPr/>
              <w:t> </w:t>
            </w:r>
          </w:p>
        </w:tc>
        <w:tc>
          <w:tcPr>
            <w:tcW w:w="7839"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pPr>
            <w:r>
              <w:rPr>
                <w:b/>
                <w:caps/>
                <w:sz w:val="20"/>
              </w:rPr>
              <w:t>P</w:t>
            </w:r>
            <w:r>
              <w:rPr>
                <w:b/>
                <w:smallCaps/>
                <w:sz w:val="20"/>
              </w:rPr>
              <w:t>age</w:t>
            </w:r>
          </w:p>
        </w:tc>
      </w:tr>
      <w:tr>
        <w:trPr/>
        <w:tc>
          <w:tcPr>
            <w:tcW w:w="9304" w:type="dxa"/>
            <w:gridSpan w:val="2"/>
            <w:tcBorders/>
            <w:shd w:fill="CCEEFF" w:val="clear"/>
            <w:vAlign w:val="center"/>
          </w:tcPr>
          <w:p>
            <w:pPr>
              <w:pStyle w:val="TableContents"/>
              <w:bidi w:val="0"/>
              <w:spacing w:before="0" w:after="283"/>
              <w:jc w:val="left"/>
              <w:rPr>
                <w:caps/>
                <w:sz w:val="20"/>
              </w:rPr>
            </w:pPr>
            <w:r>
              <w:rPr>
                <w:caps/>
                <w:sz w:val="20"/>
              </w:rPr>
              <w:t>article 1 DEFINITIONS</w:t>
            </w:r>
          </w:p>
        </w:tc>
        <w:tc>
          <w:tcPr>
            <w:tcW w:w="515" w:type="dxa"/>
            <w:tcBorders/>
            <w:shd w:fill="CCEEFF" w:val="clear"/>
            <w:vAlign w:val="center"/>
          </w:tcPr>
          <w:p>
            <w:pPr>
              <w:pStyle w:val="TableContents"/>
              <w:bidi w:val="0"/>
              <w:spacing w:before="0" w:after="283"/>
              <w:jc w:val="center"/>
              <w:rPr>
                <w:caps/>
                <w:sz w:val="20"/>
              </w:rPr>
            </w:pPr>
            <w:r>
              <w:rPr>
                <w:caps/>
                <w:sz w:val="20"/>
              </w:rPr>
              <w:t>1</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1.01</w:t>
            </w:r>
          </w:p>
        </w:tc>
        <w:tc>
          <w:tcPr>
            <w:tcW w:w="7839" w:type="dxa"/>
            <w:tcBorders/>
            <w:shd w:fill="FFFFFF" w:val="clear"/>
            <w:vAlign w:val="center"/>
          </w:tcPr>
          <w:p>
            <w:pPr>
              <w:pStyle w:val="TableContents"/>
              <w:bidi w:val="0"/>
              <w:spacing w:before="0" w:after="283"/>
              <w:jc w:val="left"/>
              <w:rPr>
                <w:sz w:val="20"/>
              </w:rPr>
            </w:pPr>
            <w:r>
              <w:rPr>
                <w:sz w:val="20"/>
              </w:rPr>
              <w:t xml:space="preserve">Definitions of </w:t>
            </w:r>
            <w:r>
              <w:rPr>
                <w:caps/>
                <w:sz w:val="20"/>
              </w:rPr>
              <w:t>T</w:t>
            </w:r>
            <w:r>
              <w:rPr>
                <w:sz w:val="20"/>
              </w:rPr>
              <w:t>erms</w:t>
            </w:r>
          </w:p>
        </w:tc>
        <w:tc>
          <w:tcPr>
            <w:tcW w:w="515" w:type="dxa"/>
            <w:tcBorders/>
            <w:shd w:fill="FFFFFF" w:val="clear"/>
            <w:vAlign w:val="center"/>
          </w:tcPr>
          <w:p>
            <w:pPr>
              <w:pStyle w:val="TableContents"/>
              <w:bidi w:val="0"/>
              <w:spacing w:before="0" w:after="283"/>
              <w:jc w:val="center"/>
              <w:rPr>
                <w:caps/>
                <w:sz w:val="20"/>
              </w:rPr>
            </w:pPr>
            <w:r>
              <w:rPr>
                <w:caps/>
                <w:sz w:val="20"/>
              </w:rPr>
              <w:t>1</w:t>
            </w:r>
          </w:p>
        </w:tc>
      </w:tr>
      <w:tr>
        <w:trPr/>
        <w:tc>
          <w:tcPr>
            <w:tcW w:w="9304" w:type="dxa"/>
            <w:gridSpan w:val="2"/>
            <w:tcBorders/>
            <w:shd w:fill="CCEEFF" w:val="clear"/>
            <w:vAlign w:val="center"/>
          </w:tcPr>
          <w:p>
            <w:pPr>
              <w:pStyle w:val="TableContents"/>
              <w:bidi w:val="0"/>
              <w:spacing w:before="0" w:after="283"/>
              <w:jc w:val="left"/>
              <w:rPr>
                <w:caps/>
                <w:sz w:val="20"/>
              </w:rPr>
            </w:pPr>
            <w:r>
              <w:rPr>
                <w:caps/>
                <w:sz w:val="20"/>
              </w:rPr>
              <w:t>article 2 ISSUE, DESCRIPTION, TERMS, EXECUTION, REGISTRATION AND EXCHANGE OF SECURITIES</w:t>
            </w:r>
          </w:p>
        </w:tc>
        <w:tc>
          <w:tcPr>
            <w:tcW w:w="515" w:type="dxa"/>
            <w:tcBorders/>
            <w:shd w:fill="CCEEFF" w:val="clear"/>
            <w:vAlign w:val="center"/>
          </w:tcPr>
          <w:p>
            <w:pPr>
              <w:pStyle w:val="TableContents"/>
              <w:bidi w:val="0"/>
              <w:spacing w:before="0" w:after="283"/>
              <w:jc w:val="center"/>
              <w:rPr>
                <w:caps/>
                <w:sz w:val="20"/>
              </w:rPr>
            </w:pPr>
            <w:r>
              <w:rPr>
                <w:caps/>
                <w:sz w:val="20"/>
              </w:rPr>
              <w:t>5</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2.01</w:t>
            </w:r>
          </w:p>
        </w:tc>
        <w:tc>
          <w:tcPr>
            <w:tcW w:w="7839" w:type="dxa"/>
            <w:tcBorders/>
            <w:shd w:fill="FFFFFF" w:val="clear"/>
            <w:vAlign w:val="center"/>
          </w:tcPr>
          <w:p>
            <w:pPr>
              <w:pStyle w:val="TableContents"/>
              <w:bidi w:val="0"/>
              <w:spacing w:before="0" w:after="283"/>
              <w:jc w:val="left"/>
              <w:rPr>
                <w:sz w:val="20"/>
              </w:rPr>
            </w:pPr>
            <w:r>
              <w:rPr>
                <w:sz w:val="20"/>
              </w:rPr>
              <w:t>Designation and Terms of Securities</w:t>
            </w:r>
          </w:p>
        </w:tc>
        <w:tc>
          <w:tcPr>
            <w:tcW w:w="515" w:type="dxa"/>
            <w:tcBorders/>
            <w:shd w:fill="FFFFFF" w:val="clear"/>
            <w:vAlign w:val="center"/>
          </w:tcPr>
          <w:p>
            <w:pPr>
              <w:pStyle w:val="TableContents"/>
              <w:bidi w:val="0"/>
              <w:spacing w:before="0" w:after="283"/>
              <w:jc w:val="center"/>
              <w:rPr>
                <w:sz w:val="20"/>
              </w:rPr>
            </w:pPr>
            <w:r>
              <w:rPr>
                <w:sz w:val="20"/>
              </w:rPr>
              <w:t>5</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2.02</w:t>
            </w:r>
          </w:p>
        </w:tc>
        <w:tc>
          <w:tcPr>
            <w:tcW w:w="7839" w:type="dxa"/>
            <w:tcBorders/>
            <w:shd w:fill="CCEEFF" w:val="clear"/>
            <w:vAlign w:val="center"/>
          </w:tcPr>
          <w:p>
            <w:pPr>
              <w:pStyle w:val="TableContents"/>
              <w:bidi w:val="0"/>
              <w:spacing w:before="0" w:after="283"/>
              <w:jc w:val="left"/>
              <w:rPr>
                <w:sz w:val="20"/>
              </w:rPr>
            </w:pPr>
            <w:r>
              <w:rPr>
                <w:sz w:val="20"/>
              </w:rPr>
              <w:t>Form of Securities and Trustee’s Certificate</w:t>
            </w:r>
          </w:p>
        </w:tc>
        <w:tc>
          <w:tcPr>
            <w:tcW w:w="515" w:type="dxa"/>
            <w:tcBorders/>
            <w:shd w:fill="CCEEFF" w:val="clear"/>
            <w:vAlign w:val="center"/>
          </w:tcPr>
          <w:p>
            <w:pPr>
              <w:pStyle w:val="TableContents"/>
              <w:bidi w:val="0"/>
              <w:spacing w:before="0" w:after="283"/>
              <w:jc w:val="center"/>
              <w:rPr>
                <w:sz w:val="20"/>
              </w:rPr>
            </w:pPr>
            <w:r>
              <w:rPr>
                <w:sz w:val="20"/>
              </w:rPr>
              <w:t>7</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2.03</w:t>
            </w:r>
          </w:p>
        </w:tc>
        <w:tc>
          <w:tcPr>
            <w:tcW w:w="7839" w:type="dxa"/>
            <w:tcBorders/>
            <w:shd w:fill="FFFFFF" w:val="clear"/>
            <w:vAlign w:val="center"/>
          </w:tcPr>
          <w:p>
            <w:pPr>
              <w:pStyle w:val="TableContents"/>
              <w:bidi w:val="0"/>
              <w:spacing w:before="0" w:after="283"/>
              <w:jc w:val="left"/>
              <w:rPr>
                <w:sz w:val="20"/>
              </w:rPr>
            </w:pPr>
            <w:r>
              <w:rPr>
                <w:sz w:val="20"/>
              </w:rPr>
              <w:t>Denominations: Provisions for Payment</w:t>
            </w:r>
          </w:p>
        </w:tc>
        <w:tc>
          <w:tcPr>
            <w:tcW w:w="515" w:type="dxa"/>
            <w:tcBorders/>
            <w:shd w:fill="FFFFFF" w:val="clear"/>
            <w:vAlign w:val="center"/>
          </w:tcPr>
          <w:p>
            <w:pPr>
              <w:pStyle w:val="TableContents"/>
              <w:bidi w:val="0"/>
              <w:spacing w:before="0" w:after="283"/>
              <w:jc w:val="center"/>
              <w:rPr/>
            </w:pPr>
            <w:r>
              <w:rPr/>
              <w:t>8</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2.04</w:t>
            </w:r>
          </w:p>
        </w:tc>
        <w:tc>
          <w:tcPr>
            <w:tcW w:w="7839" w:type="dxa"/>
            <w:tcBorders/>
            <w:shd w:fill="CCEEFF" w:val="clear"/>
            <w:vAlign w:val="center"/>
          </w:tcPr>
          <w:p>
            <w:pPr>
              <w:pStyle w:val="TableContents"/>
              <w:bidi w:val="0"/>
              <w:spacing w:before="0" w:after="283"/>
              <w:jc w:val="left"/>
              <w:rPr>
                <w:sz w:val="20"/>
              </w:rPr>
            </w:pPr>
            <w:r>
              <w:rPr>
                <w:sz w:val="20"/>
              </w:rPr>
              <w:t>Execution and Authentications</w:t>
            </w:r>
          </w:p>
        </w:tc>
        <w:tc>
          <w:tcPr>
            <w:tcW w:w="515" w:type="dxa"/>
            <w:tcBorders/>
            <w:shd w:fill="CCEEFF" w:val="clear"/>
            <w:vAlign w:val="center"/>
          </w:tcPr>
          <w:p>
            <w:pPr>
              <w:pStyle w:val="TableContents"/>
              <w:bidi w:val="0"/>
              <w:spacing w:before="0" w:after="283"/>
              <w:jc w:val="center"/>
              <w:rPr>
                <w:sz w:val="20"/>
              </w:rPr>
            </w:pPr>
            <w:r>
              <w:rPr>
                <w:sz w:val="20"/>
              </w:rPr>
              <w:t>9</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2.05</w:t>
            </w:r>
          </w:p>
        </w:tc>
        <w:tc>
          <w:tcPr>
            <w:tcW w:w="7839" w:type="dxa"/>
            <w:tcBorders/>
            <w:shd w:fill="FFFFFF" w:val="clear"/>
            <w:vAlign w:val="center"/>
          </w:tcPr>
          <w:p>
            <w:pPr>
              <w:pStyle w:val="TableContents"/>
              <w:bidi w:val="0"/>
              <w:spacing w:before="0" w:after="283"/>
              <w:jc w:val="left"/>
              <w:rPr>
                <w:sz w:val="20"/>
              </w:rPr>
            </w:pPr>
            <w:r>
              <w:rPr>
                <w:sz w:val="20"/>
              </w:rPr>
              <w:t>Registration of Transfer and Exchange</w:t>
            </w:r>
          </w:p>
        </w:tc>
        <w:tc>
          <w:tcPr>
            <w:tcW w:w="515" w:type="dxa"/>
            <w:tcBorders/>
            <w:shd w:fill="FFFFFF" w:val="clear"/>
            <w:vAlign w:val="center"/>
          </w:tcPr>
          <w:p>
            <w:pPr>
              <w:pStyle w:val="TableContents"/>
              <w:bidi w:val="0"/>
              <w:spacing w:before="0" w:after="283"/>
              <w:jc w:val="center"/>
              <w:rPr>
                <w:sz w:val="20"/>
              </w:rPr>
            </w:pPr>
            <w:r>
              <w:rPr>
                <w:sz w:val="20"/>
              </w:rPr>
              <w:t>9</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2.06</w:t>
            </w:r>
          </w:p>
        </w:tc>
        <w:tc>
          <w:tcPr>
            <w:tcW w:w="7839" w:type="dxa"/>
            <w:tcBorders/>
            <w:shd w:fill="CCEEFF" w:val="clear"/>
            <w:vAlign w:val="center"/>
          </w:tcPr>
          <w:p>
            <w:pPr>
              <w:pStyle w:val="TableContents"/>
              <w:bidi w:val="0"/>
              <w:spacing w:before="0" w:after="283"/>
              <w:jc w:val="left"/>
              <w:rPr>
                <w:sz w:val="20"/>
              </w:rPr>
            </w:pPr>
            <w:r>
              <w:rPr>
                <w:sz w:val="20"/>
              </w:rPr>
              <w:t>Temporary Securities</w:t>
            </w:r>
          </w:p>
        </w:tc>
        <w:tc>
          <w:tcPr>
            <w:tcW w:w="515" w:type="dxa"/>
            <w:tcBorders/>
            <w:shd w:fill="CCEEFF" w:val="clear"/>
            <w:vAlign w:val="center"/>
          </w:tcPr>
          <w:p>
            <w:pPr>
              <w:pStyle w:val="TableContents"/>
              <w:bidi w:val="0"/>
              <w:spacing w:before="0" w:after="283"/>
              <w:jc w:val="center"/>
              <w:rPr/>
            </w:pPr>
            <w:r>
              <w:rPr/>
              <w:t>10</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2.07</w:t>
            </w:r>
          </w:p>
        </w:tc>
        <w:tc>
          <w:tcPr>
            <w:tcW w:w="7839" w:type="dxa"/>
            <w:tcBorders/>
            <w:shd w:fill="FFFFFF" w:val="clear"/>
            <w:vAlign w:val="center"/>
          </w:tcPr>
          <w:p>
            <w:pPr>
              <w:pStyle w:val="TableContents"/>
              <w:bidi w:val="0"/>
              <w:spacing w:before="0" w:after="283"/>
              <w:jc w:val="left"/>
              <w:rPr>
                <w:sz w:val="20"/>
              </w:rPr>
            </w:pPr>
            <w:r>
              <w:rPr>
                <w:sz w:val="20"/>
              </w:rPr>
              <w:t>Mutilated, Destroyed, Lost or Stolen Securities</w:t>
            </w:r>
          </w:p>
        </w:tc>
        <w:tc>
          <w:tcPr>
            <w:tcW w:w="515" w:type="dxa"/>
            <w:tcBorders/>
            <w:shd w:fill="FFFFFF" w:val="clear"/>
            <w:vAlign w:val="center"/>
          </w:tcPr>
          <w:p>
            <w:pPr>
              <w:pStyle w:val="TableContents"/>
              <w:bidi w:val="0"/>
              <w:spacing w:before="0" w:after="283"/>
              <w:jc w:val="center"/>
              <w:rPr/>
            </w:pPr>
            <w:r>
              <w:rPr/>
              <w:t>10</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2.08</w:t>
            </w:r>
          </w:p>
        </w:tc>
        <w:tc>
          <w:tcPr>
            <w:tcW w:w="7839" w:type="dxa"/>
            <w:tcBorders/>
            <w:shd w:fill="CCEEFF" w:val="clear"/>
            <w:vAlign w:val="center"/>
          </w:tcPr>
          <w:p>
            <w:pPr>
              <w:pStyle w:val="TableContents"/>
              <w:bidi w:val="0"/>
              <w:spacing w:before="0" w:after="283"/>
              <w:jc w:val="left"/>
              <w:rPr>
                <w:sz w:val="20"/>
              </w:rPr>
            </w:pPr>
            <w:r>
              <w:rPr>
                <w:sz w:val="20"/>
              </w:rPr>
              <w:t>Cancellation</w:t>
            </w:r>
          </w:p>
        </w:tc>
        <w:tc>
          <w:tcPr>
            <w:tcW w:w="515" w:type="dxa"/>
            <w:tcBorders/>
            <w:shd w:fill="CCEEFF" w:val="clear"/>
            <w:vAlign w:val="center"/>
          </w:tcPr>
          <w:p>
            <w:pPr>
              <w:pStyle w:val="TableContents"/>
              <w:bidi w:val="0"/>
              <w:spacing w:before="0" w:after="283"/>
              <w:jc w:val="center"/>
              <w:rPr>
                <w:sz w:val="20"/>
              </w:rPr>
            </w:pPr>
            <w:r>
              <w:rPr>
                <w:sz w:val="20"/>
              </w:rPr>
              <w:t>11</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2.09</w:t>
            </w:r>
          </w:p>
        </w:tc>
        <w:tc>
          <w:tcPr>
            <w:tcW w:w="7839" w:type="dxa"/>
            <w:tcBorders/>
            <w:shd w:fill="FFFFFF" w:val="clear"/>
            <w:vAlign w:val="center"/>
          </w:tcPr>
          <w:p>
            <w:pPr>
              <w:pStyle w:val="TableContents"/>
              <w:bidi w:val="0"/>
              <w:spacing w:before="0" w:after="283"/>
              <w:jc w:val="left"/>
              <w:rPr>
                <w:sz w:val="20"/>
              </w:rPr>
            </w:pPr>
            <w:r>
              <w:rPr>
                <w:sz w:val="20"/>
              </w:rPr>
              <w:t>Benefits of Indenture</w:t>
            </w:r>
          </w:p>
        </w:tc>
        <w:tc>
          <w:tcPr>
            <w:tcW w:w="515" w:type="dxa"/>
            <w:tcBorders/>
            <w:shd w:fill="FFFFFF" w:val="clear"/>
            <w:vAlign w:val="center"/>
          </w:tcPr>
          <w:p>
            <w:pPr>
              <w:pStyle w:val="TableContents"/>
              <w:bidi w:val="0"/>
              <w:spacing w:before="0" w:after="283"/>
              <w:jc w:val="center"/>
              <w:rPr>
                <w:caps/>
                <w:sz w:val="20"/>
              </w:rPr>
            </w:pPr>
            <w:r>
              <w:rPr>
                <w:caps/>
                <w:sz w:val="20"/>
              </w:rPr>
              <w:t>11</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2.10</w:t>
            </w:r>
          </w:p>
        </w:tc>
        <w:tc>
          <w:tcPr>
            <w:tcW w:w="7839" w:type="dxa"/>
            <w:tcBorders/>
            <w:shd w:fill="CCEEFF" w:val="clear"/>
            <w:vAlign w:val="center"/>
          </w:tcPr>
          <w:p>
            <w:pPr>
              <w:pStyle w:val="TableContents"/>
              <w:bidi w:val="0"/>
              <w:spacing w:before="0" w:after="283"/>
              <w:jc w:val="left"/>
              <w:rPr>
                <w:sz w:val="20"/>
              </w:rPr>
            </w:pPr>
            <w:r>
              <w:rPr>
                <w:sz w:val="20"/>
              </w:rPr>
              <w:t>Authenticating Agent</w:t>
            </w:r>
          </w:p>
        </w:tc>
        <w:tc>
          <w:tcPr>
            <w:tcW w:w="515" w:type="dxa"/>
            <w:tcBorders/>
            <w:shd w:fill="CCEEFF" w:val="clear"/>
            <w:vAlign w:val="center"/>
          </w:tcPr>
          <w:p>
            <w:pPr>
              <w:pStyle w:val="TableContents"/>
              <w:bidi w:val="0"/>
              <w:spacing w:before="0" w:after="283"/>
              <w:jc w:val="center"/>
              <w:rPr/>
            </w:pPr>
            <w:r>
              <w:rPr/>
              <w:t>11</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2.11</w:t>
            </w:r>
          </w:p>
        </w:tc>
        <w:tc>
          <w:tcPr>
            <w:tcW w:w="7839" w:type="dxa"/>
            <w:tcBorders/>
            <w:shd w:fill="FFFFFF" w:val="clear"/>
            <w:vAlign w:val="center"/>
          </w:tcPr>
          <w:p>
            <w:pPr>
              <w:pStyle w:val="TableContents"/>
              <w:bidi w:val="0"/>
              <w:spacing w:before="0" w:after="283"/>
              <w:jc w:val="left"/>
              <w:rPr>
                <w:sz w:val="20"/>
              </w:rPr>
            </w:pPr>
            <w:r>
              <w:rPr>
                <w:sz w:val="20"/>
              </w:rPr>
              <w:t>Global Securities</w:t>
            </w:r>
          </w:p>
        </w:tc>
        <w:tc>
          <w:tcPr>
            <w:tcW w:w="515" w:type="dxa"/>
            <w:tcBorders/>
            <w:shd w:fill="FFFFFF" w:val="clear"/>
            <w:vAlign w:val="center"/>
          </w:tcPr>
          <w:p>
            <w:pPr>
              <w:pStyle w:val="TableContents"/>
              <w:bidi w:val="0"/>
              <w:spacing w:before="0" w:after="283"/>
              <w:jc w:val="center"/>
              <w:rPr>
                <w:sz w:val="20"/>
              </w:rPr>
            </w:pPr>
            <w:r>
              <w:rPr>
                <w:sz w:val="20"/>
              </w:rPr>
              <w:t>12</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2.12</w:t>
            </w:r>
          </w:p>
        </w:tc>
        <w:tc>
          <w:tcPr>
            <w:tcW w:w="7839" w:type="dxa"/>
            <w:tcBorders/>
            <w:shd w:fill="CCEEFF" w:val="clear"/>
            <w:vAlign w:val="center"/>
          </w:tcPr>
          <w:p>
            <w:pPr>
              <w:pStyle w:val="TableContents"/>
              <w:bidi w:val="0"/>
              <w:spacing w:before="0" w:after="283"/>
              <w:jc w:val="left"/>
              <w:rPr>
                <w:sz w:val="20"/>
              </w:rPr>
            </w:pPr>
            <w:r>
              <w:rPr>
                <w:sz w:val="20"/>
              </w:rPr>
              <w:t>CUSIP Numbers</w:t>
            </w:r>
          </w:p>
        </w:tc>
        <w:tc>
          <w:tcPr>
            <w:tcW w:w="515" w:type="dxa"/>
            <w:tcBorders/>
            <w:shd w:fill="CCEEFF" w:val="clear"/>
            <w:vAlign w:val="center"/>
          </w:tcPr>
          <w:p>
            <w:pPr>
              <w:pStyle w:val="TableContents"/>
              <w:bidi w:val="0"/>
              <w:spacing w:before="0" w:after="283"/>
              <w:jc w:val="center"/>
              <w:rPr>
                <w:sz w:val="20"/>
              </w:rPr>
            </w:pPr>
            <w:r>
              <w:rPr>
                <w:sz w:val="20"/>
              </w:rPr>
              <w:t>12</w:t>
            </w:r>
          </w:p>
        </w:tc>
      </w:tr>
      <w:tr>
        <w:trPr/>
        <w:tc>
          <w:tcPr>
            <w:tcW w:w="9304" w:type="dxa"/>
            <w:gridSpan w:val="2"/>
            <w:tcBorders/>
            <w:shd w:fill="FFFFFF" w:val="clear"/>
            <w:vAlign w:val="center"/>
          </w:tcPr>
          <w:p>
            <w:pPr>
              <w:pStyle w:val="TableContents"/>
              <w:bidi w:val="0"/>
              <w:spacing w:before="0" w:after="283"/>
              <w:jc w:val="left"/>
              <w:rPr/>
            </w:pPr>
            <w:r>
              <w:rPr>
                <w:caps/>
                <w:sz w:val="20"/>
              </w:rPr>
              <w:t>article 3</w:t>
            </w:r>
            <w:r>
              <w:rPr/>
              <w:t xml:space="preserve"> </w:t>
            </w:r>
            <w:r>
              <w:rPr>
                <w:sz w:val="20"/>
              </w:rPr>
              <w:t>REDEMPTION OF SECURITIES AND SINKING FUND PROVISIONS</w:t>
            </w:r>
          </w:p>
        </w:tc>
        <w:tc>
          <w:tcPr>
            <w:tcW w:w="515" w:type="dxa"/>
            <w:tcBorders/>
            <w:shd w:fill="FFFFFF" w:val="clear"/>
            <w:vAlign w:val="center"/>
          </w:tcPr>
          <w:p>
            <w:pPr>
              <w:pStyle w:val="TableContents"/>
              <w:bidi w:val="0"/>
              <w:spacing w:before="0" w:after="283"/>
              <w:jc w:val="center"/>
              <w:rPr>
                <w:sz w:val="20"/>
              </w:rPr>
            </w:pPr>
            <w:r>
              <w:rPr>
                <w:sz w:val="20"/>
              </w:rPr>
              <w:t>13</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3.01</w:t>
            </w:r>
          </w:p>
        </w:tc>
        <w:tc>
          <w:tcPr>
            <w:tcW w:w="7839" w:type="dxa"/>
            <w:tcBorders/>
            <w:shd w:fill="CCEEFF" w:val="clear"/>
            <w:vAlign w:val="center"/>
          </w:tcPr>
          <w:p>
            <w:pPr>
              <w:pStyle w:val="TableContents"/>
              <w:bidi w:val="0"/>
              <w:spacing w:before="0" w:after="283"/>
              <w:jc w:val="left"/>
              <w:rPr>
                <w:sz w:val="20"/>
              </w:rPr>
            </w:pPr>
            <w:r>
              <w:rPr>
                <w:sz w:val="20"/>
              </w:rPr>
              <w:t>Redemption</w:t>
            </w:r>
          </w:p>
        </w:tc>
        <w:tc>
          <w:tcPr>
            <w:tcW w:w="515" w:type="dxa"/>
            <w:tcBorders/>
            <w:shd w:fill="CCEEFF" w:val="clear"/>
            <w:vAlign w:val="center"/>
          </w:tcPr>
          <w:p>
            <w:pPr>
              <w:pStyle w:val="TableContents"/>
              <w:bidi w:val="0"/>
              <w:spacing w:before="0" w:after="283"/>
              <w:jc w:val="center"/>
              <w:rPr>
                <w:sz w:val="20"/>
              </w:rPr>
            </w:pPr>
            <w:r>
              <w:rPr>
                <w:sz w:val="20"/>
              </w:rPr>
              <w:t>13</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3.02</w:t>
            </w:r>
          </w:p>
        </w:tc>
        <w:tc>
          <w:tcPr>
            <w:tcW w:w="7839" w:type="dxa"/>
            <w:tcBorders/>
            <w:shd w:fill="FFFFFF" w:val="clear"/>
            <w:vAlign w:val="center"/>
          </w:tcPr>
          <w:p>
            <w:pPr>
              <w:pStyle w:val="TableContents"/>
              <w:bidi w:val="0"/>
              <w:spacing w:before="0" w:after="283"/>
              <w:jc w:val="left"/>
              <w:rPr>
                <w:sz w:val="20"/>
              </w:rPr>
            </w:pPr>
            <w:r>
              <w:rPr>
                <w:sz w:val="20"/>
              </w:rPr>
              <w:t>Notice of Redemption</w:t>
            </w:r>
          </w:p>
        </w:tc>
        <w:tc>
          <w:tcPr>
            <w:tcW w:w="515" w:type="dxa"/>
            <w:tcBorders/>
            <w:shd w:fill="FFFFFF" w:val="clear"/>
            <w:vAlign w:val="center"/>
          </w:tcPr>
          <w:p>
            <w:pPr>
              <w:pStyle w:val="TableContents"/>
              <w:bidi w:val="0"/>
              <w:spacing w:before="0" w:after="283"/>
              <w:jc w:val="center"/>
              <w:rPr>
                <w:caps/>
                <w:sz w:val="20"/>
              </w:rPr>
            </w:pPr>
            <w:r>
              <w:rPr>
                <w:caps/>
                <w:sz w:val="20"/>
              </w:rPr>
              <w:t>13</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3.03</w:t>
            </w:r>
          </w:p>
        </w:tc>
        <w:tc>
          <w:tcPr>
            <w:tcW w:w="7839" w:type="dxa"/>
            <w:tcBorders/>
            <w:shd w:fill="CCEEFF" w:val="clear"/>
            <w:vAlign w:val="center"/>
          </w:tcPr>
          <w:p>
            <w:pPr>
              <w:pStyle w:val="TableContents"/>
              <w:bidi w:val="0"/>
              <w:spacing w:before="0" w:after="283"/>
              <w:jc w:val="left"/>
              <w:rPr>
                <w:sz w:val="20"/>
              </w:rPr>
            </w:pPr>
            <w:r>
              <w:rPr>
                <w:sz w:val="20"/>
              </w:rPr>
              <w:t>Payment Upon Redemption</w:t>
            </w:r>
          </w:p>
        </w:tc>
        <w:tc>
          <w:tcPr>
            <w:tcW w:w="515" w:type="dxa"/>
            <w:tcBorders/>
            <w:shd w:fill="CCEEFF" w:val="clear"/>
            <w:vAlign w:val="center"/>
          </w:tcPr>
          <w:p>
            <w:pPr>
              <w:pStyle w:val="TableContents"/>
              <w:bidi w:val="0"/>
              <w:spacing w:before="0" w:after="283"/>
              <w:jc w:val="center"/>
              <w:rPr>
                <w:sz w:val="20"/>
              </w:rPr>
            </w:pPr>
            <w:r>
              <w:rPr>
                <w:sz w:val="20"/>
              </w:rPr>
              <w:t>14</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3.04</w:t>
            </w:r>
          </w:p>
        </w:tc>
        <w:tc>
          <w:tcPr>
            <w:tcW w:w="7839" w:type="dxa"/>
            <w:tcBorders/>
            <w:shd w:fill="FFFFFF" w:val="clear"/>
            <w:vAlign w:val="center"/>
          </w:tcPr>
          <w:p>
            <w:pPr>
              <w:pStyle w:val="TableContents"/>
              <w:bidi w:val="0"/>
              <w:spacing w:before="0" w:after="283"/>
              <w:jc w:val="left"/>
              <w:rPr>
                <w:sz w:val="20"/>
              </w:rPr>
            </w:pPr>
            <w:r>
              <w:rPr>
                <w:sz w:val="20"/>
              </w:rPr>
              <w:t>Sinking Fund</w:t>
            </w:r>
          </w:p>
        </w:tc>
        <w:tc>
          <w:tcPr>
            <w:tcW w:w="515" w:type="dxa"/>
            <w:tcBorders/>
            <w:shd w:fill="FFFFFF" w:val="clear"/>
            <w:vAlign w:val="center"/>
          </w:tcPr>
          <w:p>
            <w:pPr>
              <w:pStyle w:val="TableContents"/>
              <w:bidi w:val="0"/>
              <w:spacing w:before="0" w:after="283"/>
              <w:jc w:val="center"/>
              <w:rPr>
                <w:sz w:val="20"/>
              </w:rPr>
            </w:pPr>
            <w:r>
              <w:rPr>
                <w:sz w:val="20"/>
              </w:rPr>
              <w:t>14</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3.05</w:t>
            </w:r>
          </w:p>
        </w:tc>
        <w:tc>
          <w:tcPr>
            <w:tcW w:w="7839" w:type="dxa"/>
            <w:tcBorders/>
            <w:shd w:fill="CCEEFF" w:val="clear"/>
            <w:vAlign w:val="center"/>
          </w:tcPr>
          <w:p>
            <w:pPr>
              <w:pStyle w:val="TableContents"/>
              <w:bidi w:val="0"/>
              <w:spacing w:before="0" w:after="283"/>
              <w:jc w:val="left"/>
              <w:rPr>
                <w:sz w:val="20"/>
              </w:rPr>
            </w:pPr>
            <w:r>
              <w:rPr>
                <w:sz w:val="20"/>
              </w:rPr>
              <w:t>Satisfaction of Sinking Fund Payments with Securities</w:t>
            </w:r>
          </w:p>
        </w:tc>
        <w:tc>
          <w:tcPr>
            <w:tcW w:w="515" w:type="dxa"/>
            <w:tcBorders/>
            <w:shd w:fill="CCEEFF" w:val="clear"/>
            <w:vAlign w:val="center"/>
          </w:tcPr>
          <w:p>
            <w:pPr>
              <w:pStyle w:val="TableContents"/>
              <w:bidi w:val="0"/>
              <w:spacing w:before="0" w:after="283"/>
              <w:jc w:val="center"/>
              <w:rPr>
                <w:caps/>
                <w:sz w:val="20"/>
              </w:rPr>
            </w:pPr>
            <w:r>
              <w:rPr>
                <w:caps/>
                <w:sz w:val="20"/>
              </w:rPr>
              <w:t>14</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3.06</w:t>
            </w:r>
          </w:p>
        </w:tc>
        <w:tc>
          <w:tcPr>
            <w:tcW w:w="7839" w:type="dxa"/>
            <w:tcBorders/>
            <w:shd w:fill="FFFFFF" w:val="clear"/>
            <w:vAlign w:val="center"/>
          </w:tcPr>
          <w:p>
            <w:pPr>
              <w:pStyle w:val="TableContents"/>
              <w:bidi w:val="0"/>
              <w:spacing w:before="0" w:after="283"/>
              <w:jc w:val="left"/>
              <w:rPr>
                <w:sz w:val="20"/>
              </w:rPr>
            </w:pPr>
            <w:r>
              <w:rPr>
                <w:sz w:val="20"/>
              </w:rPr>
              <w:t>Redemption of Securities for Sinking Fund</w:t>
            </w:r>
          </w:p>
        </w:tc>
        <w:tc>
          <w:tcPr>
            <w:tcW w:w="515" w:type="dxa"/>
            <w:tcBorders/>
            <w:shd w:fill="FFFFFF" w:val="clear"/>
            <w:vAlign w:val="center"/>
          </w:tcPr>
          <w:p>
            <w:pPr>
              <w:pStyle w:val="TableContents"/>
              <w:bidi w:val="0"/>
              <w:spacing w:before="0" w:after="283"/>
              <w:jc w:val="center"/>
              <w:rPr>
                <w:caps/>
                <w:sz w:val="20"/>
              </w:rPr>
            </w:pPr>
            <w:r>
              <w:rPr>
                <w:caps/>
                <w:sz w:val="20"/>
              </w:rPr>
              <w:t>14</w:t>
            </w:r>
          </w:p>
        </w:tc>
      </w:tr>
      <w:tr>
        <w:trPr/>
        <w:tc>
          <w:tcPr>
            <w:tcW w:w="9304" w:type="dxa"/>
            <w:gridSpan w:val="2"/>
            <w:tcBorders/>
            <w:shd w:fill="CCEEFF" w:val="clear"/>
            <w:vAlign w:val="center"/>
          </w:tcPr>
          <w:p>
            <w:pPr>
              <w:pStyle w:val="TableContents"/>
              <w:bidi w:val="0"/>
              <w:spacing w:before="0" w:after="283"/>
              <w:jc w:val="left"/>
              <w:rPr/>
            </w:pPr>
            <w:r>
              <w:rPr>
                <w:caps/>
                <w:sz w:val="20"/>
              </w:rPr>
              <w:t>article 4</w:t>
            </w:r>
            <w:r>
              <w:rPr/>
              <w:t xml:space="preserve"> </w:t>
            </w:r>
            <w:r>
              <w:rPr>
                <w:sz w:val="20"/>
              </w:rPr>
              <w:t>COVENANTS</w:t>
            </w:r>
          </w:p>
        </w:tc>
        <w:tc>
          <w:tcPr>
            <w:tcW w:w="515" w:type="dxa"/>
            <w:tcBorders/>
            <w:shd w:fill="CCEEFF" w:val="clear"/>
            <w:vAlign w:val="center"/>
          </w:tcPr>
          <w:p>
            <w:pPr>
              <w:pStyle w:val="TableContents"/>
              <w:bidi w:val="0"/>
              <w:spacing w:before="0" w:after="283"/>
              <w:jc w:val="center"/>
              <w:rPr>
                <w:sz w:val="20"/>
              </w:rPr>
            </w:pPr>
            <w:r>
              <w:rPr>
                <w:sz w:val="20"/>
              </w:rPr>
              <w:t>15</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4.01</w:t>
            </w:r>
          </w:p>
        </w:tc>
        <w:tc>
          <w:tcPr>
            <w:tcW w:w="7839" w:type="dxa"/>
            <w:tcBorders/>
            <w:shd w:fill="FFFFFF" w:val="clear"/>
            <w:vAlign w:val="center"/>
          </w:tcPr>
          <w:p>
            <w:pPr>
              <w:pStyle w:val="TableContents"/>
              <w:bidi w:val="0"/>
              <w:spacing w:before="0" w:after="283"/>
              <w:jc w:val="left"/>
              <w:rPr>
                <w:sz w:val="20"/>
              </w:rPr>
            </w:pPr>
            <w:r>
              <w:rPr>
                <w:sz w:val="20"/>
              </w:rPr>
              <w:t>Payment of Principal, Premium and Interest</w:t>
            </w:r>
          </w:p>
        </w:tc>
        <w:tc>
          <w:tcPr>
            <w:tcW w:w="515" w:type="dxa"/>
            <w:tcBorders/>
            <w:shd w:fill="FFFFFF" w:val="clear"/>
            <w:vAlign w:val="center"/>
          </w:tcPr>
          <w:p>
            <w:pPr>
              <w:pStyle w:val="TableContents"/>
              <w:bidi w:val="0"/>
              <w:spacing w:before="0" w:after="283"/>
              <w:jc w:val="center"/>
              <w:rPr>
                <w:caps/>
                <w:sz w:val="20"/>
              </w:rPr>
            </w:pPr>
            <w:r>
              <w:rPr>
                <w:caps/>
                <w:sz w:val="20"/>
              </w:rPr>
              <w:t>15</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4.02</w:t>
            </w:r>
          </w:p>
        </w:tc>
        <w:tc>
          <w:tcPr>
            <w:tcW w:w="7839" w:type="dxa"/>
            <w:tcBorders/>
            <w:shd w:fill="CCEEFF" w:val="clear"/>
            <w:vAlign w:val="center"/>
          </w:tcPr>
          <w:p>
            <w:pPr>
              <w:pStyle w:val="TableContents"/>
              <w:bidi w:val="0"/>
              <w:spacing w:before="0" w:after="283"/>
              <w:jc w:val="left"/>
              <w:rPr>
                <w:sz w:val="20"/>
              </w:rPr>
            </w:pPr>
            <w:r>
              <w:rPr>
                <w:sz w:val="20"/>
              </w:rPr>
              <w:t>Maintenance of Office or Agency</w:t>
            </w:r>
          </w:p>
        </w:tc>
        <w:tc>
          <w:tcPr>
            <w:tcW w:w="515" w:type="dxa"/>
            <w:tcBorders/>
            <w:shd w:fill="CCEEFF" w:val="clear"/>
            <w:vAlign w:val="center"/>
          </w:tcPr>
          <w:p>
            <w:pPr>
              <w:pStyle w:val="TableContents"/>
              <w:bidi w:val="0"/>
              <w:spacing w:before="0" w:after="283"/>
              <w:jc w:val="center"/>
              <w:rPr>
                <w:caps/>
                <w:sz w:val="20"/>
              </w:rPr>
            </w:pPr>
            <w:r>
              <w:rPr>
                <w:caps/>
                <w:sz w:val="20"/>
              </w:rPr>
              <w:t>15</w:t>
            </w:r>
          </w:p>
        </w:tc>
      </w:tr>
      <w:tr>
        <w:trPr/>
        <w:tc>
          <w:tcPr>
            <w:tcW w:w="1465" w:type="dxa"/>
            <w:tcBorders/>
            <w:shd w:fill="FFFFFF" w:val="clear"/>
            <w:vAlign w:val="center"/>
          </w:tcPr>
          <w:p>
            <w:pPr>
              <w:pStyle w:val="TableContents"/>
              <w:bidi w:val="0"/>
              <w:spacing w:before="0" w:after="283"/>
              <w:jc w:val="left"/>
              <w:rPr/>
            </w:pPr>
            <w:r>
              <w:rPr>
                <w:caps/>
                <w:sz w:val="20"/>
              </w:rPr>
              <w:t>S</w:t>
            </w:r>
            <w:r>
              <w:rPr>
                <w:sz w:val="20"/>
              </w:rPr>
              <w:t xml:space="preserve">ection </w:t>
            </w:r>
            <w:r>
              <w:rPr>
                <w:caps/>
                <w:sz w:val="20"/>
              </w:rPr>
              <w:t>4.03</w:t>
            </w:r>
          </w:p>
        </w:tc>
        <w:tc>
          <w:tcPr>
            <w:tcW w:w="7839" w:type="dxa"/>
            <w:tcBorders/>
            <w:shd w:fill="FFFFFF" w:val="clear"/>
            <w:vAlign w:val="center"/>
          </w:tcPr>
          <w:p>
            <w:pPr>
              <w:pStyle w:val="TableContents"/>
              <w:bidi w:val="0"/>
              <w:spacing w:before="0" w:after="283"/>
              <w:jc w:val="left"/>
              <w:rPr>
                <w:sz w:val="20"/>
              </w:rPr>
            </w:pPr>
            <w:r>
              <w:rPr>
                <w:sz w:val="20"/>
              </w:rPr>
              <w:t>Paying Agents</w:t>
            </w:r>
          </w:p>
        </w:tc>
        <w:tc>
          <w:tcPr>
            <w:tcW w:w="515" w:type="dxa"/>
            <w:tcBorders/>
            <w:shd w:fill="FFFFFF" w:val="clear"/>
            <w:vAlign w:val="center"/>
          </w:tcPr>
          <w:p>
            <w:pPr>
              <w:pStyle w:val="TableContents"/>
              <w:bidi w:val="0"/>
              <w:spacing w:before="0" w:after="283"/>
              <w:jc w:val="center"/>
              <w:rPr>
                <w:caps/>
                <w:sz w:val="20"/>
              </w:rPr>
            </w:pPr>
            <w:r>
              <w:rPr>
                <w:caps/>
                <w:sz w:val="20"/>
              </w:rPr>
              <w:t>15</w:t>
            </w:r>
          </w:p>
        </w:tc>
      </w:tr>
      <w:tr>
        <w:trPr/>
        <w:tc>
          <w:tcPr>
            <w:tcW w:w="1465" w:type="dxa"/>
            <w:tcBorders/>
            <w:shd w:fill="CCEEFF" w:val="clear"/>
            <w:vAlign w:val="center"/>
          </w:tcPr>
          <w:p>
            <w:pPr>
              <w:pStyle w:val="TableContents"/>
              <w:bidi w:val="0"/>
              <w:spacing w:before="0" w:after="283"/>
              <w:jc w:val="left"/>
              <w:rPr/>
            </w:pPr>
            <w:r>
              <w:rPr>
                <w:caps/>
                <w:sz w:val="20"/>
              </w:rPr>
              <w:t>S</w:t>
            </w:r>
            <w:r>
              <w:rPr>
                <w:sz w:val="20"/>
              </w:rPr>
              <w:t xml:space="preserve">ection </w:t>
            </w:r>
            <w:r>
              <w:rPr>
                <w:caps/>
                <w:sz w:val="20"/>
              </w:rPr>
              <w:t>4.04</w:t>
            </w:r>
          </w:p>
        </w:tc>
        <w:tc>
          <w:tcPr>
            <w:tcW w:w="7839" w:type="dxa"/>
            <w:tcBorders/>
            <w:shd w:fill="CCEEFF" w:val="clear"/>
            <w:vAlign w:val="center"/>
          </w:tcPr>
          <w:p>
            <w:pPr>
              <w:pStyle w:val="TableContents"/>
              <w:bidi w:val="0"/>
              <w:spacing w:before="0" w:after="283"/>
              <w:jc w:val="left"/>
              <w:rPr>
                <w:sz w:val="20"/>
              </w:rPr>
            </w:pPr>
            <w:r>
              <w:rPr>
                <w:sz w:val="20"/>
              </w:rPr>
              <w:t>Appointment to Fill Vacancy in Office of Trustee</w:t>
            </w:r>
          </w:p>
        </w:tc>
        <w:tc>
          <w:tcPr>
            <w:tcW w:w="515" w:type="dxa"/>
            <w:tcBorders/>
            <w:shd w:fill="CCEEFF" w:val="clear"/>
            <w:vAlign w:val="center"/>
          </w:tcPr>
          <w:p>
            <w:pPr>
              <w:pStyle w:val="TableContents"/>
              <w:bidi w:val="0"/>
              <w:spacing w:before="0" w:after="283"/>
              <w:jc w:val="center"/>
              <w:rPr>
                <w:sz w:val="20"/>
              </w:rPr>
            </w:pPr>
            <w:r>
              <w:rPr>
                <w:sz w:val="20"/>
              </w:rPr>
              <w:t>16</w:t>
            </w:r>
          </w:p>
        </w:tc>
      </w:tr>
      <w:tr>
        <w:trPr/>
        <w:tc>
          <w:tcPr>
            <w:tcW w:w="9304" w:type="dxa"/>
            <w:gridSpan w:val="2"/>
            <w:tcBorders/>
            <w:shd w:fill="FFFFFF" w:val="clear"/>
            <w:vAlign w:val="center"/>
          </w:tcPr>
          <w:p>
            <w:pPr>
              <w:pStyle w:val="TableContents"/>
              <w:bidi w:val="0"/>
              <w:spacing w:before="0" w:after="283"/>
              <w:jc w:val="left"/>
              <w:rPr>
                <w:caps/>
                <w:sz w:val="20"/>
              </w:rPr>
            </w:pPr>
            <w:r>
              <w:rPr>
                <w:caps/>
                <w:sz w:val="20"/>
              </w:rPr>
              <w:t>article 5  SECURITYHOLDERS’ LISTS AND REPORTS BY THE COMPANY AND THE TRUSTEE</w:t>
            </w:r>
          </w:p>
        </w:tc>
        <w:tc>
          <w:tcPr>
            <w:tcW w:w="515" w:type="dxa"/>
            <w:tcBorders/>
            <w:shd w:fill="FFFFFF" w:val="clear"/>
            <w:vAlign w:val="center"/>
          </w:tcPr>
          <w:p>
            <w:pPr>
              <w:pStyle w:val="TableContents"/>
              <w:bidi w:val="0"/>
              <w:spacing w:before="0" w:after="283"/>
              <w:jc w:val="center"/>
              <w:rPr>
                <w:caps/>
                <w:sz w:val="20"/>
              </w:rPr>
            </w:pPr>
            <w:r>
              <w:rPr>
                <w:caps/>
                <w:sz w:val="20"/>
              </w:rPr>
              <w:t>16</w:t>
            </w:r>
          </w:p>
        </w:tc>
      </w:tr>
      <w:tr>
        <w:trPr/>
        <w:tc>
          <w:tcPr>
            <w:tcW w:w="1465" w:type="dxa"/>
            <w:tcBorders/>
            <w:shd w:fill="CCEEFF" w:val="clear"/>
            <w:vAlign w:val="center"/>
          </w:tcPr>
          <w:p>
            <w:pPr>
              <w:pStyle w:val="TableContents"/>
              <w:bidi w:val="0"/>
              <w:spacing w:before="0" w:after="283"/>
              <w:jc w:val="left"/>
              <w:rPr>
                <w:sz w:val="20"/>
              </w:rPr>
            </w:pPr>
            <w:r>
              <w:rPr>
                <w:sz w:val="20"/>
              </w:rPr>
              <w:t>Section 5.01</w:t>
            </w:r>
          </w:p>
        </w:tc>
        <w:tc>
          <w:tcPr>
            <w:tcW w:w="7839" w:type="dxa"/>
            <w:tcBorders/>
            <w:shd w:fill="CCEEFF" w:val="clear"/>
            <w:vAlign w:val="center"/>
          </w:tcPr>
          <w:p>
            <w:pPr>
              <w:pStyle w:val="TableContents"/>
              <w:bidi w:val="0"/>
              <w:spacing w:before="0" w:after="283"/>
              <w:jc w:val="left"/>
              <w:rPr>
                <w:sz w:val="20"/>
              </w:rPr>
            </w:pPr>
            <w:r>
              <w:rPr>
                <w:sz w:val="20"/>
              </w:rPr>
              <w:t>Company to Furnish Trustee Names and Addresses of Securityholders</w:t>
            </w:r>
          </w:p>
        </w:tc>
        <w:tc>
          <w:tcPr>
            <w:tcW w:w="515" w:type="dxa"/>
            <w:tcBorders/>
            <w:shd w:fill="CCEEFF" w:val="clear"/>
            <w:vAlign w:val="center"/>
          </w:tcPr>
          <w:p>
            <w:pPr>
              <w:pStyle w:val="TableContents"/>
              <w:bidi w:val="0"/>
              <w:spacing w:before="0" w:after="283"/>
              <w:jc w:val="center"/>
              <w:rPr>
                <w:sz w:val="20"/>
              </w:rPr>
            </w:pPr>
            <w:r>
              <w:rPr>
                <w:sz w:val="20"/>
              </w:rPr>
              <w:t>16</w:t>
            </w:r>
          </w:p>
        </w:tc>
      </w:tr>
      <w:tr>
        <w:trPr/>
        <w:tc>
          <w:tcPr>
            <w:tcW w:w="1465" w:type="dxa"/>
            <w:tcBorders/>
            <w:shd w:fill="FFFFFF" w:val="clear"/>
            <w:vAlign w:val="center"/>
          </w:tcPr>
          <w:p>
            <w:pPr>
              <w:pStyle w:val="TableContents"/>
              <w:bidi w:val="0"/>
              <w:spacing w:before="0" w:after="283"/>
              <w:jc w:val="left"/>
              <w:rPr>
                <w:sz w:val="20"/>
              </w:rPr>
            </w:pPr>
            <w:r>
              <w:rPr>
                <w:sz w:val="20"/>
              </w:rPr>
              <w:t>Section 5.02</w:t>
            </w:r>
          </w:p>
        </w:tc>
        <w:tc>
          <w:tcPr>
            <w:tcW w:w="7839" w:type="dxa"/>
            <w:tcBorders/>
            <w:shd w:fill="FFFFFF" w:val="clear"/>
            <w:vAlign w:val="center"/>
          </w:tcPr>
          <w:p>
            <w:pPr>
              <w:pStyle w:val="TableContents"/>
              <w:bidi w:val="0"/>
              <w:spacing w:before="0" w:after="283"/>
              <w:jc w:val="left"/>
              <w:rPr>
                <w:sz w:val="20"/>
              </w:rPr>
            </w:pPr>
            <w:r>
              <w:rPr>
                <w:sz w:val="20"/>
              </w:rPr>
              <w:t>Preservation Of Information; Communications With Securityholders</w:t>
            </w:r>
          </w:p>
        </w:tc>
        <w:tc>
          <w:tcPr>
            <w:tcW w:w="515" w:type="dxa"/>
            <w:tcBorders/>
            <w:shd w:fill="FFFFFF" w:val="clear"/>
            <w:vAlign w:val="center"/>
          </w:tcPr>
          <w:p>
            <w:pPr>
              <w:pStyle w:val="TableContents"/>
              <w:bidi w:val="0"/>
              <w:spacing w:before="0" w:after="283"/>
              <w:jc w:val="center"/>
              <w:rPr>
                <w:sz w:val="20"/>
              </w:rPr>
            </w:pPr>
            <w:r>
              <w:rPr>
                <w:sz w:val="20"/>
              </w:rPr>
              <w:t>16</w:t>
            </w:r>
          </w:p>
        </w:tc>
      </w:tr>
      <w:tr>
        <w:trPr/>
        <w:tc>
          <w:tcPr>
            <w:tcW w:w="1465" w:type="dxa"/>
            <w:tcBorders/>
            <w:shd w:fill="CCEEFF" w:val="clear"/>
            <w:vAlign w:val="center"/>
          </w:tcPr>
          <w:p>
            <w:pPr>
              <w:pStyle w:val="TableContents"/>
              <w:bidi w:val="0"/>
              <w:spacing w:before="0" w:after="283"/>
              <w:jc w:val="left"/>
              <w:rPr>
                <w:sz w:val="20"/>
              </w:rPr>
            </w:pPr>
            <w:r>
              <w:rPr>
                <w:sz w:val="20"/>
              </w:rPr>
              <w:t>Section 5.03</w:t>
            </w:r>
          </w:p>
        </w:tc>
        <w:tc>
          <w:tcPr>
            <w:tcW w:w="7839" w:type="dxa"/>
            <w:tcBorders/>
            <w:shd w:fill="CCEEFF" w:val="clear"/>
            <w:vAlign w:val="center"/>
          </w:tcPr>
          <w:p>
            <w:pPr>
              <w:pStyle w:val="TableContents"/>
              <w:bidi w:val="0"/>
              <w:spacing w:before="0" w:after="283"/>
              <w:jc w:val="left"/>
              <w:rPr>
                <w:sz w:val="20"/>
              </w:rPr>
            </w:pPr>
            <w:r>
              <w:rPr>
                <w:sz w:val="20"/>
              </w:rPr>
              <w:t>Reports by the Company</w:t>
            </w:r>
          </w:p>
        </w:tc>
        <w:tc>
          <w:tcPr>
            <w:tcW w:w="515" w:type="dxa"/>
            <w:tcBorders/>
            <w:shd w:fill="CCEEFF" w:val="clear"/>
            <w:vAlign w:val="center"/>
          </w:tcPr>
          <w:p>
            <w:pPr>
              <w:pStyle w:val="TableContents"/>
              <w:bidi w:val="0"/>
              <w:spacing w:before="0" w:after="283"/>
              <w:jc w:val="center"/>
              <w:rPr>
                <w:sz w:val="20"/>
              </w:rPr>
            </w:pPr>
            <w:r>
              <w:rPr>
                <w:sz w:val="20"/>
              </w:rPr>
              <w:t>16</w:t>
            </w:r>
          </w:p>
        </w:tc>
      </w:tr>
      <w:tr>
        <w:trPr/>
        <w:tc>
          <w:tcPr>
            <w:tcW w:w="1465" w:type="dxa"/>
            <w:tcBorders/>
            <w:shd w:fill="FFFFFF" w:val="clear"/>
            <w:vAlign w:val="center"/>
          </w:tcPr>
          <w:p>
            <w:pPr>
              <w:pStyle w:val="TableContents"/>
              <w:bidi w:val="0"/>
              <w:spacing w:before="0" w:after="283"/>
              <w:jc w:val="left"/>
              <w:rPr>
                <w:sz w:val="20"/>
              </w:rPr>
            </w:pPr>
            <w:r>
              <w:rPr>
                <w:sz w:val="20"/>
              </w:rPr>
              <w:t>Section 5.04</w:t>
            </w:r>
          </w:p>
        </w:tc>
        <w:tc>
          <w:tcPr>
            <w:tcW w:w="7839" w:type="dxa"/>
            <w:tcBorders/>
            <w:shd w:fill="FFFFFF" w:val="clear"/>
            <w:vAlign w:val="center"/>
          </w:tcPr>
          <w:p>
            <w:pPr>
              <w:pStyle w:val="TableContents"/>
              <w:bidi w:val="0"/>
              <w:spacing w:before="0" w:after="283"/>
              <w:jc w:val="left"/>
              <w:rPr>
                <w:sz w:val="20"/>
              </w:rPr>
            </w:pPr>
            <w:r>
              <w:rPr>
                <w:sz w:val="20"/>
              </w:rPr>
              <w:t>Reports by the Trustee</w:t>
            </w:r>
          </w:p>
        </w:tc>
        <w:tc>
          <w:tcPr>
            <w:tcW w:w="515" w:type="dxa"/>
            <w:tcBorders/>
            <w:shd w:fill="FFFFFF" w:val="clear"/>
            <w:vAlign w:val="center"/>
          </w:tcPr>
          <w:p>
            <w:pPr>
              <w:pStyle w:val="TableContents"/>
              <w:bidi w:val="0"/>
              <w:spacing w:before="0" w:after="283"/>
              <w:jc w:val="center"/>
              <w:rPr>
                <w:sz w:val="20"/>
              </w:rPr>
            </w:pPr>
            <w:r>
              <w:rPr>
                <w:sz w:val="20"/>
              </w:rPr>
              <w:t>17</w:t>
            </w:r>
          </w:p>
        </w:tc>
      </w:tr>
      <w:tr>
        <w:trPr/>
        <w:tc>
          <w:tcPr>
            <w:tcW w:w="9304" w:type="dxa"/>
            <w:gridSpan w:val="2"/>
            <w:tcBorders/>
            <w:shd w:fill="CCEEFF" w:val="clear"/>
            <w:vAlign w:val="center"/>
          </w:tcPr>
          <w:p>
            <w:pPr>
              <w:pStyle w:val="TableContents"/>
              <w:bidi w:val="0"/>
              <w:spacing w:before="0" w:after="283"/>
              <w:jc w:val="left"/>
              <w:rPr>
                <w:caps/>
                <w:sz w:val="20"/>
              </w:rPr>
            </w:pPr>
            <w:r>
              <w:rPr>
                <w:caps/>
                <w:sz w:val="20"/>
              </w:rPr>
              <w:t>article 6 REMEDIES OF THE TRUSTEE AND SECURITYHOLDERS ON EVENT OF DEFAULT</w:t>
            </w:r>
          </w:p>
        </w:tc>
        <w:tc>
          <w:tcPr>
            <w:tcW w:w="515" w:type="dxa"/>
            <w:tcBorders/>
            <w:shd w:fill="CCEEFF" w:val="clear"/>
            <w:vAlign w:val="center"/>
          </w:tcPr>
          <w:p>
            <w:pPr>
              <w:pStyle w:val="TableContents"/>
              <w:bidi w:val="0"/>
              <w:spacing w:before="0" w:after="283"/>
              <w:jc w:val="center"/>
              <w:rPr>
                <w:sz w:val="20"/>
              </w:rPr>
            </w:pPr>
            <w:r>
              <w:rPr>
                <w:sz w:val="20"/>
              </w:rPr>
              <w:t>17</w:t>
            </w:r>
          </w:p>
        </w:tc>
      </w:tr>
      <w:tr>
        <w:trPr/>
        <w:tc>
          <w:tcPr>
            <w:tcW w:w="1465" w:type="dxa"/>
            <w:tcBorders/>
            <w:shd w:fill="FFFFFF" w:val="clear"/>
            <w:vAlign w:val="center"/>
          </w:tcPr>
          <w:p>
            <w:pPr>
              <w:pStyle w:val="TableContents"/>
              <w:bidi w:val="0"/>
              <w:spacing w:before="0" w:after="283"/>
              <w:jc w:val="left"/>
              <w:rPr>
                <w:sz w:val="20"/>
              </w:rPr>
            </w:pPr>
            <w:r>
              <w:rPr>
                <w:sz w:val="20"/>
              </w:rPr>
              <w:t>Section 6.01</w:t>
            </w:r>
          </w:p>
        </w:tc>
        <w:tc>
          <w:tcPr>
            <w:tcW w:w="7839" w:type="dxa"/>
            <w:tcBorders/>
            <w:shd w:fill="FFFFFF" w:val="clear"/>
            <w:vAlign w:val="center"/>
          </w:tcPr>
          <w:p>
            <w:pPr>
              <w:pStyle w:val="TableContents"/>
              <w:bidi w:val="0"/>
              <w:spacing w:before="0" w:after="283"/>
              <w:jc w:val="left"/>
              <w:rPr>
                <w:sz w:val="20"/>
              </w:rPr>
            </w:pPr>
            <w:r>
              <w:rPr>
                <w:sz w:val="20"/>
              </w:rPr>
              <w:t>Events of Default</w:t>
            </w:r>
          </w:p>
        </w:tc>
        <w:tc>
          <w:tcPr>
            <w:tcW w:w="515" w:type="dxa"/>
            <w:tcBorders/>
            <w:shd w:fill="FFFFFF" w:val="clear"/>
            <w:vAlign w:val="center"/>
          </w:tcPr>
          <w:p>
            <w:pPr>
              <w:pStyle w:val="TableContents"/>
              <w:bidi w:val="0"/>
              <w:spacing w:before="0" w:after="283"/>
              <w:jc w:val="center"/>
              <w:rPr>
                <w:sz w:val="20"/>
              </w:rPr>
            </w:pPr>
            <w:r>
              <w:rPr>
                <w:sz w:val="20"/>
              </w:rPr>
              <w:t>17</w:t>
            </w:r>
          </w:p>
        </w:tc>
      </w:tr>
      <w:tr>
        <w:trPr/>
        <w:tc>
          <w:tcPr>
            <w:tcW w:w="1465" w:type="dxa"/>
            <w:tcBorders/>
            <w:shd w:fill="CCEEFF" w:val="clear"/>
            <w:vAlign w:val="center"/>
          </w:tcPr>
          <w:p>
            <w:pPr>
              <w:pStyle w:val="TableContents"/>
              <w:bidi w:val="0"/>
              <w:spacing w:before="0" w:after="283"/>
              <w:jc w:val="left"/>
              <w:rPr>
                <w:sz w:val="20"/>
              </w:rPr>
            </w:pPr>
            <w:r>
              <w:rPr>
                <w:sz w:val="20"/>
              </w:rPr>
              <w:t>Section 6.02</w:t>
            </w:r>
          </w:p>
        </w:tc>
        <w:tc>
          <w:tcPr>
            <w:tcW w:w="7839" w:type="dxa"/>
            <w:tcBorders/>
            <w:shd w:fill="CCEEFF" w:val="clear"/>
            <w:vAlign w:val="center"/>
          </w:tcPr>
          <w:p>
            <w:pPr>
              <w:pStyle w:val="TableContents"/>
              <w:bidi w:val="0"/>
              <w:spacing w:before="0" w:after="283"/>
              <w:jc w:val="left"/>
              <w:rPr>
                <w:sz w:val="20"/>
              </w:rPr>
            </w:pPr>
            <w:r>
              <w:rPr>
                <w:sz w:val="20"/>
              </w:rPr>
              <w:t>Collection of Indebtedness and Suits for Enforcement by Trustee</w:t>
            </w:r>
          </w:p>
        </w:tc>
        <w:tc>
          <w:tcPr>
            <w:tcW w:w="515" w:type="dxa"/>
            <w:tcBorders/>
            <w:shd w:fill="CCEEFF" w:val="clear"/>
            <w:vAlign w:val="center"/>
          </w:tcPr>
          <w:p>
            <w:pPr>
              <w:pStyle w:val="TableContents"/>
              <w:bidi w:val="0"/>
              <w:spacing w:before="0" w:after="283"/>
              <w:jc w:val="center"/>
              <w:rPr>
                <w:sz w:val="20"/>
              </w:rPr>
            </w:pPr>
            <w:r>
              <w:rPr>
                <w:sz w:val="20"/>
              </w:rPr>
              <w:t>18</w:t>
            </w:r>
          </w:p>
        </w:tc>
      </w:tr>
      <w:tr>
        <w:trPr/>
        <w:tc>
          <w:tcPr>
            <w:tcW w:w="1465" w:type="dxa"/>
            <w:tcBorders/>
            <w:shd w:fill="FFFFFF" w:val="clear"/>
            <w:vAlign w:val="center"/>
          </w:tcPr>
          <w:p>
            <w:pPr>
              <w:pStyle w:val="TableContents"/>
              <w:bidi w:val="0"/>
              <w:spacing w:before="0" w:after="283"/>
              <w:jc w:val="left"/>
              <w:rPr>
                <w:sz w:val="20"/>
              </w:rPr>
            </w:pPr>
            <w:r>
              <w:rPr>
                <w:sz w:val="20"/>
              </w:rPr>
              <w:t>Section 6.03</w:t>
            </w:r>
          </w:p>
        </w:tc>
        <w:tc>
          <w:tcPr>
            <w:tcW w:w="7839" w:type="dxa"/>
            <w:tcBorders/>
            <w:shd w:fill="FFFFFF" w:val="clear"/>
            <w:vAlign w:val="center"/>
          </w:tcPr>
          <w:p>
            <w:pPr>
              <w:pStyle w:val="TableContents"/>
              <w:bidi w:val="0"/>
              <w:spacing w:before="0" w:after="283"/>
              <w:jc w:val="left"/>
              <w:rPr>
                <w:sz w:val="20"/>
              </w:rPr>
            </w:pPr>
            <w:r>
              <w:rPr>
                <w:sz w:val="20"/>
              </w:rPr>
              <w:t>Application of Moneys Collected</w:t>
            </w:r>
          </w:p>
        </w:tc>
        <w:tc>
          <w:tcPr>
            <w:tcW w:w="515" w:type="dxa"/>
            <w:tcBorders/>
            <w:shd w:fill="FFFFFF" w:val="clear"/>
            <w:vAlign w:val="center"/>
          </w:tcPr>
          <w:p>
            <w:pPr>
              <w:pStyle w:val="TableContents"/>
              <w:bidi w:val="0"/>
              <w:spacing w:before="0" w:after="283"/>
              <w:jc w:val="center"/>
              <w:rPr>
                <w:sz w:val="20"/>
              </w:rPr>
            </w:pPr>
            <w:r>
              <w:rPr>
                <w:sz w:val="20"/>
              </w:rPr>
              <w:t>19</w:t>
            </w:r>
          </w:p>
        </w:tc>
      </w:tr>
      <w:tr>
        <w:trPr/>
        <w:tc>
          <w:tcPr>
            <w:tcW w:w="1465" w:type="dxa"/>
            <w:tcBorders/>
            <w:shd w:fill="CCEEFF" w:val="clear"/>
            <w:vAlign w:val="center"/>
          </w:tcPr>
          <w:p>
            <w:pPr>
              <w:pStyle w:val="TableContents"/>
              <w:bidi w:val="0"/>
              <w:spacing w:before="0" w:after="283"/>
              <w:jc w:val="left"/>
              <w:rPr>
                <w:sz w:val="20"/>
              </w:rPr>
            </w:pPr>
            <w:r>
              <w:rPr>
                <w:sz w:val="20"/>
              </w:rPr>
              <w:t>Section 6.04</w:t>
            </w:r>
          </w:p>
        </w:tc>
        <w:tc>
          <w:tcPr>
            <w:tcW w:w="7839" w:type="dxa"/>
            <w:tcBorders/>
            <w:shd w:fill="CCEEFF" w:val="clear"/>
            <w:vAlign w:val="center"/>
          </w:tcPr>
          <w:p>
            <w:pPr>
              <w:pStyle w:val="TableContents"/>
              <w:bidi w:val="0"/>
              <w:spacing w:before="0" w:after="283"/>
              <w:jc w:val="left"/>
              <w:rPr>
                <w:sz w:val="20"/>
              </w:rPr>
            </w:pPr>
            <w:r>
              <w:rPr>
                <w:sz w:val="20"/>
              </w:rPr>
              <w:t>Limitation on Suits</w:t>
            </w:r>
          </w:p>
        </w:tc>
        <w:tc>
          <w:tcPr>
            <w:tcW w:w="515" w:type="dxa"/>
            <w:tcBorders/>
            <w:shd w:fill="CCEEFF" w:val="clear"/>
            <w:vAlign w:val="center"/>
          </w:tcPr>
          <w:p>
            <w:pPr>
              <w:pStyle w:val="TableContents"/>
              <w:bidi w:val="0"/>
              <w:spacing w:before="0" w:after="283"/>
              <w:jc w:val="center"/>
              <w:rPr>
                <w:sz w:val="20"/>
              </w:rPr>
            </w:pPr>
            <w:r>
              <w:rPr>
                <w:sz w:val="20"/>
              </w:rPr>
              <w:t>20</w:t>
            </w:r>
          </w:p>
        </w:tc>
      </w:tr>
      <w:tr>
        <w:trPr/>
        <w:tc>
          <w:tcPr>
            <w:tcW w:w="1465" w:type="dxa"/>
            <w:tcBorders/>
            <w:shd w:fill="FFFFFF" w:val="clear"/>
            <w:vAlign w:val="center"/>
          </w:tcPr>
          <w:p>
            <w:pPr>
              <w:pStyle w:val="TableContents"/>
              <w:bidi w:val="0"/>
              <w:spacing w:before="0" w:after="283"/>
              <w:jc w:val="left"/>
              <w:rPr>
                <w:sz w:val="20"/>
              </w:rPr>
            </w:pPr>
            <w:r>
              <w:rPr>
                <w:sz w:val="20"/>
              </w:rPr>
              <w:t>Section 6.05</w:t>
            </w:r>
          </w:p>
        </w:tc>
        <w:tc>
          <w:tcPr>
            <w:tcW w:w="7839" w:type="dxa"/>
            <w:tcBorders/>
            <w:shd w:fill="FFFFFF" w:val="clear"/>
            <w:vAlign w:val="center"/>
          </w:tcPr>
          <w:p>
            <w:pPr>
              <w:pStyle w:val="TableContents"/>
              <w:bidi w:val="0"/>
              <w:spacing w:before="0" w:after="283"/>
              <w:jc w:val="left"/>
              <w:rPr>
                <w:sz w:val="20"/>
              </w:rPr>
            </w:pPr>
            <w:r>
              <w:rPr>
                <w:sz w:val="20"/>
              </w:rPr>
              <w:t>Rights and Remedies Cumulative; Delay or Omission Not Waiver</w:t>
            </w:r>
          </w:p>
        </w:tc>
        <w:tc>
          <w:tcPr>
            <w:tcW w:w="515" w:type="dxa"/>
            <w:tcBorders/>
            <w:shd w:fill="FFFFFF" w:val="clear"/>
            <w:vAlign w:val="center"/>
          </w:tcPr>
          <w:p>
            <w:pPr>
              <w:pStyle w:val="TableContents"/>
              <w:bidi w:val="0"/>
              <w:spacing w:before="0" w:after="283"/>
              <w:jc w:val="center"/>
              <w:rPr>
                <w:sz w:val="20"/>
              </w:rPr>
            </w:pPr>
            <w:r>
              <w:rPr>
                <w:sz w:val="20"/>
              </w:rPr>
              <w:t>20</w:t>
            </w:r>
          </w:p>
        </w:tc>
      </w:tr>
      <w:tr>
        <w:trPr/>
        <w:tc>
          <w:tcPr>
            <w:tcW w:w="1465" w:type="dxa"/>
            <w:tcBorders/>
            <w:shd w:fill="CCEEFF" w:val="clear"/>
            <w:vAlign w:val="center"/>
          </w:tcPr>
          <w:p>
            <w:pPr>
              <w:pStyle w:val="TableContents"/>
              <w:bidi w:val="0"/>
              <w:spacing w:before="0" w:after="283"/>
              <w:jc w:val="left"/>
              <w:rPr>
                <w:sz w:val="20"/>
              </w:rPr>
            </w:pPr>
            <w:r>
              <w:rPr>
                <w:sz w:val="20"/>
              </w:rPr>
              <w:t>Section 6.06</w:t>
            </w:r>
          </w:p>
        </w:tc>
        <w:tc>
          <w:tcPr>
            <w:tcW w:w="7839" w:type="dxa"/>
            <w:tcBorders/>
            <w:shd w:fill="CCEEFF" w:val="clear"/>
            <w:vAlign w:val="center"/>
          </w:tcPr>
          <w:p>
            <w:pPr>
              <w:pStyle w:val="TableContents"/>
              <w:bidi w:val="0"/>
              <w:spacing w:before="0" w:after="283"/>
              <w:jc w:val="left"/>
              <w:rPr>
                <w:sz w:val="20"/>
              </w:rPr>
            </w:pPr>
            <w:r>
              <w:rPr>
                <w:sz w:val="20"/>
              </w:rPr>
              <w:t>Control by Securityholders</w:t>
            </w:r>
          </w:p>
        </w:tc>
        <w:tc>
          <w:tcPr>
            <w:tcW w:w="515" w:type="dxa"/>
            <w:tcBorders/>
            <w:shd w:fill="CCEEFF" w:val="clear"/>
            <w:vAlign w:val="center"/>
          </w:tcPr>
          <w:p>
            <w:pPr>
              <w:pStyle w:val="TableContents"/>
              <w:bidi w:val="0"/>
              <w:spacing w:before="0" w:after="283"/>
              <w:jc w:val="center"/>
              <w:rPr>
                <w:sz w:val="20"/>
              </w:rPr>
            </w:pPr>
            <w:r>
              <w:rPr>
                <w:sz w:val="20"/>
              </w:rPr>
              <w:t>21</w:t>
            </w:r>
          </w:p>
        </w:tc>
      </w:tr>
      <w:tr>
        <w:trPr/>
        <w:tc>
          <w:tcPr>
            <w:tcW w:w="1465" w:type="dxa"/>
            <w:tcBorders/>
            <w:shd w:fill="FFFFFF" w:val="clear"/>
            <w:vAlign w:val="center"/>
          </w:tcPr>
          <w:p>
            <w:pPr>
              <w:pStyle w:val="TableContents"/>
              <w:bidi w:val="0"/>
              <w:spacing w:before="0" w:after="283"/>
              <w:jc w:val="left"/>
              <w:rPr>
                <w:sz w:val="20"/>
              </w:rPr>
            </w:pPr>
            <w:r>
              <w:rPr>
                <w:sz w:val="20"/>
              </w:rPr>
              <w:t>Section 6.07</w:t>
            </w:r>
          </w:p>
        </w:tc>
        <w:tc>
          <w:tcPr>
            <w:tcW w:w="7839" w:type="dxa"/>
            <w:tcBorders/>
            <w:shd w:fill="FFFFFF" w:val="clear"/>
            <w:vAlign w:val="center"/>
          </w:tcPr>
          <w:p>
            <w:pPr>
              <w:pStyle w:val="TableContents"/>
              <w:bidi w:val="0"/>
              <w:spacing w:before="0" w:after="283"/>
              <w:jc w:val="left"/>
              <w:rPr>
                <w:sz w:val="20"/>
              </w:rPr>
            </w:pPr>
            <w:r>
              <w:rPr>
                <w:sz w:val="20"/>
              </w:rPr>
              <w:t>Undertaking to Pay Costs</w:t>
            </w:r>
          </w:p>
        </w:tc>
        <w:tc>
          <w:tcPr>
            <w:tcW w:w="515" w:type="dxa"/>
            <w:tcBorders/>
            <w:shd w:fill="FFFFFF" w:val="clear"/>
            <w:vAlign w:val="center"/>
          </w:tcPr>
          <w:p>
            <w:pPr>
              <w:pStyle w:val="TableContents"/>
              <w:bidi w:val="0"/>
              <w:spacing w:before="0" w:after="283"/>
              <w:jc w:val="center"/>
              <w:rPr>
                <w:sz w:val="20"/>
              </w:rPr>
            </w:pPr>
            <w:r>
              <w:rPr>
                <w:sz w:val="20"/>
              </w:rPr>
              <w:t>21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tbl>
      <w:tblPr>
        <w:tblW w:w="8544" w:type="dxa"/>
        <w:jc w:val="left"/>
        <w:tblInd w:w="0" w:type="dxa"/>
        <w:tblLayout w:type="fixed"/>
        <w:tblCellMar>
          <w:top w:w="0" w:type="dxa"/>
          <w:left w:w="0" w:type="dxa"/>
          <w:bottom w:w="0" w:type="dxa"/>
          <w:right w:w="0" w:type="dxa"/>
        </w:tblCellMar>
      </w:tblPr>
      <w:tblGrid>
        <w:gridCol w:w="1481"/>
        <w:gridCol w:w="6788"/>
        <w:gridCol w:w="275"/>
      </w:tblGrid>
      <w:tr>
        <w:trPr/>
        <w:tc>
          <w:tcPr>
            <w:tcW w:w="8269" w:type="dxa"/>
            <w:gridSpan w:val="2"/>
            <w:tcBorders/>
            <w:shd w:fill="CCEEFF" w:val="clear"/>
            <w:vAlign w:val="center"/>
          </w:tcPr>
          <w:p>
            <w:pPr>
              <w:pStyle w:val="TableContents"/>
              <w:bidi w:val="0"/>
              <w:spacing w:before="0" w:after="283"/>
              <w:jc w:val="left"/>
              <w:rPr>
                <w:caps/>
                <w:sz w:val="20"/>
              </w:rPr>
            </w:pPr>
            <w:r>
              <w:rPr>
                <w:caps/>
                <w:sz w:val="20"/>
              </w:rPr>
              <w:t>article 7 CONCERNING THE TRUSTEE</w:t>
            </w:r>
          </w:p>
        </w:tc>
        <w:tc>
          <w:tcPr>
            <w:tcW w:w="275" w:type="dxa"/>
            <w:tcBorders/>
            <w:shd w:fill="CCEEFF" w:val="clear"/>
            <w:vAlign w:val="center"/>
          </w:tcPr>
          <w:p>
            <w:pPr>
              <w:pStyle w:val="TableContents"/>
              <w:bidi w:val="0"/>
              <w:spacing w:before="0" w:after="283"/>
              <w:jc w:val="center"/>
              <w:rPr/>
            </w:pPr>
            <w:r>
              <w:rPr/>
              <w:t>21</w:t>
            </w:r>
          </w:p>
        </w:tc>
      </w:tr>
      <w:tr>
        <w:trPr/>
        <w:tc>
          <w:tcPr>
            <w:tcW w:w="1481" w:type="dxa"/>
            <w:tcBorders/>
            <w:shd w:fill="FFFFFF" w:val="clear"/>
            <w:vAlign w:val="center"/>
          </w:tcPr>
          <w:p>
            <w:pPr>
              <w:pStyle w:val="TableContents"/>
              <w:bidi w:val="0"/>
              <w:spacing w:before="0" w:after="283"/>
              <w:jc w:val="left"/>
              <w:rPr>
                <w:sz w:val="20"/>
              </w:rPr>
            </w:pPr>
            <w:r>
              <w:rPr>
                <w:sz w:val="20"/>
              </w:rPr>
              <w:t>Section 7.01</w:t>
            </w:r>
          </w:p>
        </w:tc>
        <w:tc>
          <w:tcPr>
            <w:tcW w:w="6788" w:type="dxa"/>
            <w:tcBorders/>
            <w:shd w:fill="FFFFFF" w:val="clear"/>
            <w:vAlign w:val="center"/>
          </w:tcPr>
          <w:p>
            <w:pPr>
              <w:pStyle w:val="TableContents"/>
              <w:bidi w:val="0"/>
              <w:spacing w:before="0" w:after="283"/>
              <w:jc w:val="left"/>
              <w:rPr>
                <w:sz w:val="20"/>
              </w:rPr>
            </w:pPr>
            <w:r>
              <w:rPr>
                <w:sz w:val="20"/>
              </w:rPr>
              <w:t>Certain Duties and Responsibilities of Trustee</w:t>
            </w:r>
          </w:p>
        </w:tc>
        <w:tc>
          <w:tcPr>
            <w:tcW w:w="275" w:type="dxa"/>
            <w:tcBorders/>
            <w:shd w:fill="FFFFFF" w:val="clear"/>
            <w:vAlign w:val="center"/>
          </w:tcPr>
          <w:p>
            <w:pPr>
              <w:pStyle w:val="TableContents"/>
              <w:bidi w:val="0"/>
              <w:spacing w:before="0" w:after="283"/>
              <w:jc w:val="center"/>
              <w:rPr>
                <w:sz w:val="20"/>
              </w:rPr>
            </w:pPr>
            <w:r>
              <w:rPr>
                <w:sz w:val="20"/>
              </w:rPr>
              <w:t>21</w:t>
            </w:r>
          </w:p>
        </w:tc>
      </w:tr>
      <w:tr>
        <w:trPr/>
        <w:tc>
          <w:tcPr>
            <w:tcW w:w="1481" w:type="dxa"/>
            <w:tcBorders/>
            <w:shd w:fill="CCEEFF" w:val="clear"/>
            <w:vAlign w:val="center"/>
          </w:tcPr>
          <w:p>
            <w:pPr>
              <w:pStyle w:val="TableContents"/>
              <w:bidi w:val="0"/>
              <w:spacing w:before="0" w:after="283"/>
              <w:jc w:val="left"/>
              <w:rPr>
                <w:sz w:val="20"/>
              </w:rPr>
            </w:pPr>
            <w:r>
              <w:rPr>
                <w:sz w:val="20"/>
              </w:rPr>
              <w:t>Section 7.02</w:t>
            </w:r>
          </w:p>
        </w:tc>
        <w:tc>
          <w:tcPr>
            <w:tcW w:w="6788" w:type="dxa"/>
            <w:tcBorders/>
            <w:shd w:fill="CCEEFF" w:val="clear"/>
            <w:vAlign w:val="center"/>
          </w:tcPr>
          <w:p>
            <w:pPr>
              <w:pStyle w:val="TableContents"/>
              <w:bidi w:val="0"/>
              <w:spacing w:before="0" w:after="283"/>
              <w:jc w:val="left"/>
              <w:rPr>
                <w:sz w:val="20"/>
              </w:rPr>
            </w:pPr>
            <w:r>
              <w:rPr>
                <w:sz w:val="20"/>
              </w:rPr>
              <w:t>Certain Rights of Trustee</w:t>
            </w:r>
          </w:p>
        </w:tc>
        <w:tc>
          <w:tcPr>
            <w:tcW w:w="275" w:type="dxa"/>
            <w:tcBorders/>
            <w:shd w:fill="CCEEFF" w:val="clear"/>
            <w:vAlign w:val="center"/>
          </w:tcPr>
          <w:p>
            <w:pPr>
              <w:pStyle w:val="TableContents"/>
              <w:bidi w:val="0"/>
              <w:spacing w:before="0" w:after="283"/>
              <w:jc w:val="center"/>
              <w:rPr>
                <w:sz w:val="20"/>
              </w:rPr>
            </w:pPr>
            <w:r>
              <w:rPr>
                <w:sz w:val="20"/>
              </w:rPr>
              <w:t>22</w:t>
            </w:r>
          </w:p>
        </w:tc>
      </w:tr>
      <w:tr>
        <w:trPr/>
        <w:tc>
          <w:tcPr>
            <w:tcW w:w="1481" w:type="dxa"/>
            <w:tcBorders/>
            <w:shd w:fill="FFFFFF" w:val="clear"/>
            <w:vAlign w:val="center"/>
          </w:tcPr>
          <w:p>
            <w:pPr>
              <w:pStyle w:val="TableContents"/>
              <w:bidi w:val="0"/>
              <w:spacing w:before="0" w:after="283"/>
              <w:jc w:val="left"/>
              <w:rPr>
                <w:sz w:val="20"/>
              </w:rPr>
            </w:pPr>
            <w:r>
              <w:rPr>
                <w:sz w:val="20"/>
              </w:rPr>
              <w:t>Section 7.03</w:t>
            </w:r>
          </w:p>
        </w:tc>
        <w:tc>
          <w:tcPr>
            <w:tcW w:w="6788" w:type="dxa"/>
            <w:tcBorders/>
            <w:shd w:fill="FFFFFF" w:val="clear"/>
            <w:vAlign w:val="center"/>
          </w:tcPr>
          <w:p>
            <w:pPr>
              <w:pStyle w:val="TableContents"/>
              <w:bidi w:val="0"/>
              <w:spacing w:before="0" w:after="283"/>
              <w:jc w:val="left"/>
              <w:rPr>
                <w:sz w:val="20"/>
              </w:rPr>
            </w:pPr>
            <w:r>
              <w:rPr>
                <w:sz w:val="20"/>
              </w:rPr>
              <w:t>Trustee Not Responsible for Recitals or Issuance or Securities</w:t>
            </w:r>
          </w:p>
        </w:tc>
        <w:tc>
          <w:tcPr>
            <w:tcW w:w="275" w:type="dxa"/>
            <w:tcBorders/>
            <w:shd w:fill="FFFFFF" w:val="clear"/>
            <w:vAlign w:val="center"/>
          </w:tcPr>
          <w:p>
            <w:pPr>
              <w:pStyle w:val="TableContents"/>
              <w:bidi w:val="0"/>
              <w:spacing w:before="0" w:after="283"/>
              <w:jc w:val="center"/>
              <w:rPr>
                <w:sz w:val="20"/>
              </w:rPr>
            </w:pPr>
            <w:r>
              <w:rPr>
                <w:sz w:val="20"/>
              </w:rPr>
              <w:t>24</w:t>
            </w:r>
          </w:p>
        </w:tc>
      </w:tr>
      <w:tr>
        <w:trPr/>
        <w:tc>
          <w:tcPr>
            <w:tcW w:w="1481" w:type="dxa"/>
            <w:tcBorders/>
            <w:shd w:fill="CCEEFF" w:val="clear"/>
            <w:vAlign w:val="center"/>
          </w:tcPr>
          <w:p>
            <w:pPr>
              <w:pStyle w:val="TableContents"/>
              <w:bidi w:val="0"/>
              <w:spacing w:before="0" w:after="283"/>
              <w:jc w:val="left"/>
              <w:rPr>
                <w:sz w:val="20"/>
              </w:rPr>
            </w:pPr>
            <w:r>
              <w:rPr>
                <w:sz w:val="20"/>
              </w:rPr>
              <w:t>Section 7.04</w:t>
            </w:r>
          </w:p>
        </w:tc>
        <w:tc>
          <w:tcPr>
            <w:tcW w:w="6788" w:type="dxa"/>
            <w:tcBorders/>
            <w:shd w:fill="CCEEFF" w:val="clear"/>
            <w:vAlign w:val="center"/>
          </w:tcPr>
          <w:p>
            <w:pPr>
              <w:pStyle w:val="TableContents"/>
              <w:bidi w:val="0"/>
              <w:spacing w:before="0" w:after="283"/>
              <w:jc w:val="left"/>
              <w:rPr>
                <w:sz w:val="20"/>
              </w:rPr>
            </w:pPr>
            <w:r>
              <w:rPr>
                <w:sz w:val="20"/>
              </w:rPr>
              <w:t>May Hold Securities</w:t>
            </w:r>
          </w:p>
        </w:tc>
        <w:tc>
          <w:tcPr>
            <w:tcW w:w="275" w:type="dxa"/>
            <w:tcBorders/>
            <w:shd w:fill="CCEEFF" w:val="clear"/>
            <w:vAlign w:val="center"/>
          </w:tcPr>
          <w:p>
            <w:pPr>
              <w:pStyle w:val="TableContents"/>
              <w:bidi w:val="0"/>
              <w:spacing w:before="0" w:after="283"/>
              <w:jc w:val="center"/>
              <w:rPr>
                <w:sz w:val="20"/>
              </w:rPr>
            </w:pPr>
            <w:r>
              <w:rPr>
                <w:sz w:val="20"/>
              </w:rPr>
              <w:t>24</w:t>
            </w:r>
          </w:p>
        </w:tc>
      </w:tr>
      <w:tr>
        <w:trPr/>
        <w:tc>
          <w:tcPr>
            <w:tcW w:w="1481" w:type="dxa"/>
            <w:tcBorders/>
            <w:shd w:fill="FFFFFF" w:val="clear"/>
            <w:vAlign w:val="center"/>
          </w:tcPr>
          <w:p>
            <w:pPr>
              <w:pStyle w:val="TableContents"/>
              <w:bidi w:val="0"/>
              <w:spacing w:before="0" w:after="283"/>
              <w:jc w:val="left"/>
              <w:rPr>
                <w:sz w:val="20"/>
              </w:rPr>
            </w:pPr>
            <w:r>
              <w:rPr>
                <w:sz w:val="20"/>
              </w:rPr>
              <w:t>Section 7.05</w:t>
            </w:r>
          </w:p>
        </w:tc>
        <w:tc>
          <w:tcPr>
            <w:tcW w:w="6788" w:type="dxa"/>
            <w:tcBorders/>
            <w:shd w:fill="FFFFFF" w:val="clear"/>
            <w:vAlign w:val="center"/>
          </w:tcPr>
          <w:p>
            <w:pPr>
              <w:pStyle w:val="TableContents"/>
              <w:bidi w:val="0"/>
              <w:spacing w:before="0" w:after="283"/>
              <w:jc w:val="left"/>
              <w:rPr>
                <w:sz w:val="20"/>
              </w:rPr>
            </w:pPr>
            <w:r>
              <w:rPr>
                <w:sz w:val="20"/>
              </w:rPr>
              <w:t>Moneys Held in Trust</w:t>
            </w:r>
          </w:p>
        </w:tc>
        <w:tc>
          <w:tcPr>
            <w:tcW w:w="275" w:type="dxa"/>
            <w:tcBorders/>
            <w:shd w:fill="FFFFFF" w:val="clear"/>
            <w:vAlign w:val="center"/>
          </w:tcPr>
          <w:p>
            <w:pPr>
              <w:pStyle w:val="TableContents"/>
              <w:bidi w:val="0"/>
              <w:spacing w:before="0" w:after="283"/>
              <w:jc w:val="center"/>
              <w:rPr>
                <w:sz w:val="20"/>
              </w:rPr>
            </w:pPr>
            <w:r>
              <w:rPr>
                <w:sz w:val="20"/>
              </w:rPr>
              <w:t>24</w:t>
            </w:r>
          </w:p>
        </w:tc>
      </w:tr>
      <w:tr>
        <w:trPr/>
        <w:tc>
          <w:tcPr>
            <w:tcW w:w="1481" w:type="dxa"/>
            <w:tcBorders/>
            <w:shd w:fill="CCEEFF" w:val="clear"/>
            <w:vAlign w:val="center"/>
          </w:tcPr>
          <w:p>
            <w:pPr>
              <w:pStyle w:val="TableContents"/>
              <w:bidi w:val="0"/>
              <w:spacing w:before="0" w:after="283"/>
              <w:jc w:val="left"/>
              <w:rPr>
                <w:sz w:val="20"/>
              </w:rPr>
            </w:pPr>
            <w:r>
              <w:rPr>
                <w:sz w:val="20"/>
              </w:rPr>
              <w:t>Section 7.06</w:t>
            </w:r>
          </w:p>
        </w:tc>
        <w:tc>
          <w:tcPr>
            <w:tcW w:w="6788" w:type="dxa"/>
            <w:tcBorders/>
            <w:shd w:fill="CCEEFF" w:val="clear"/>
            <w:vAlign w:val="center"/>
          </w:tcPr>
          <w:p>
            <w:pPr>
              <w:pStyle w:val="TableContents"/>
              <w:bidi w:val="0"/>
              <w:spacing w:before="0" w:after="283"/>
              <w:jc w:val="left"/>
              <w:rPr>
                <w:sz w:val="20"/>
              </w:rPr>
            </w:pPr>
            <w:r>
              <w:rPr>
                <w:sz w:val="20"/>
              </w:rPr>
              <w:t>Compensation and Reimbursement</w:t>
            </w:r>
          </w:p>
        </w:tc>
        <w:tc>
          <w:tcPr>
            <w:tcW w:w="275" w:type="dxa"/>
            <w:tcBorders/>
            <w:shd w:fill="CCEEFF" w:val="clear"/>
            <w:vAlign w:val="center"/>
          </w:tcPr>
          <w:p>
            <w:pPr>
              <w:pStyle w:val="TableContents"/>
              <w:bidi w:val="0"/>
              <w:spacing w:before="0" w:after="283"/>
              <w:jc w:val="center"/>
              <w:rPr>
                <w:sz w:val="20"/>
              </w:rPr>
            </w:pPr>
            <w:r>
              <w:rPr>
                <w:sz w:val="20"/>
              </w:rPr>
              <w:t>24</w:t>
            </w:r>
          </w:p>
        </w:tc>
      </w:tr>
      <w:tr>
        <w:trPr/>
        <w:tc>
          <w:tcPr>
            <w:tcW w:w="1481" w:type="dxa"/>
            <w:tcBorders/>
            <w:shd w:fill="FFFFFF" w:val="clear"/>
            <w:vAlign w:val="center"/>
          </w:tcPr>
          <w:p>
            <w:pPr>
              <w:pStyle w:val="TableContents"/>
              <w:bidi w:val="0"/>
              <w:spacing w:before="0" w:after="283"/>
              <w:jc w:val="left"/>
              <w:rPr>
                <w:sz w:val="20"/>
              </w:rPr>
            </w:pPr>
            <w:r>
              <w:rPr>
                <w:sz w:val="20"/>
              </w:rPr>
              <w:t>Section 7.07</w:t>
            </w:r>
          </w:p>
        </w:tc>
        <w:tc>
          <w:tcPr>
            <w:tcW w:w="6788" w:type="dxa"/>
            <w:tcBorders/>
            <w:shd w:fill="FFFFFF" w:val="clear"/>
            <w:vAlign w:val="center"/>
          </w:tcPr>
          <w:p>
            <w:pPr>
              <w:pStyle w:val="TableContents"/>
              <w:bidi w:val="0"/>
              <w:spacing w:before="0" w:after="283"/>
              <w:jc w:val="left"/>
              <w:rPr>
                <w:sz w:val="20"/>
              </w:rPr>
            </w:pPr>
            <w:r>
              <w:rPr>
                <w:sz w:val="20"/>
              </w:rPr>
              <w:t>Reliance on Officer’s Certificate</w:t>
            </w:r>
          </w:p>
        </w:tc>
        <w:tc>
          <w:tcPr>
            <w:tcW w:w="275" w:type="dxa"/>
            <w:tcBorders/>
            <w:shd w:fill="FFFFFF" w:val="clear"/>
            <w:vAlign w:val="center"/>
          </w:tcPr>
          <w:p>
            <w:pPr>
              <w:pStyle w:val="TableContents"/>
              <w:bidi w:val="0"/>
              <w:spacing w:before="0" w:after="283"/>
              <w:jc w:val="center"/>
              <w:rPr>
                <w:sz w:val="20"/>
              </w:rPr>
            </w:pPr>
            <w:r>
              <w:rPr>
                <w:sz w:val="20"/>
              </w:rPr>
              <w:t>25</w:t>
            </w:r>
          </w:p>
        </w:tc>
      </w:tr>
      <w:tr>
        <w:trPr/>
        <w:tc>
          <w:tcPr>
            <w:tcW w:w="1481" w:type="dxa"/>
            <w:tcBorders/>
            <w:shd w:fill="CCEEFF" w:val="clear"/>
            <w:vAlign w:val="center"/>
          </w:tcPr>
          <w:p>
            <w:pPr>
              <w:pStyle w:val="TableContents"/>
              <w:bidi w:val="0"/>
              <w:spacing w:before="0" w:after="283"/>
              <w:jc w:val="left"/>
              <w:rPr>
                <w:sz w:val="20"/>
              </w:rPr>
            </w:pPr>
            <w:r>
              <w:rPr>
                <w:sz w:val="20"/>
              </w:rPr>
              <w:t>Section 7.08</w:t>
            </w:r>
          </w:p>
        </w:tc>
        <w:tc>
          <w:tcPr>
            <w:tcW w:w="6788" w:type="dxa"/>
            <w:tcBorders/>
            <w:shd w:fill="CCEEFF" w:val="clear"/>
            <w:vAlign w:val="center"/>
          </w:tcPr>
          <w:p>
            <w:pPr>
              <w:pStyle w:val="TableContents"/>
              <w:bidi w:val="0"/>
              <w:spacing w:before="0" w:after="283"/>
              <w:jc w:val="left"/>
              <w:rPr>
                <w:sz w:val="20"/>
              </w:rPr>
            </w:pPr>
            <w:r>
              <w:rPr>
                <w:sz w:val="20"/>
              </w:rPr>
              <w:t>Disqualification; Conflicting Interests</w:t>
            </w:r>
          </w:p>
        </w:tc>
        <w:tc>
          <w:tcPr>
            <w:tcW w:w="275" w:type="dxa"/>
            <w:tcBorders/>
            <w:shd w:fill="CCEEFF" w:val="clear"/>
            <w:vAlign w:val="center"/>
          </w:tcPr>
          <w:p>
            <w:pPr>
              <w:pStyle w:val="TableContents"/>
              <w:bidi w:val="0"/>
              <w:spacing w:before="0" w:after="283"/>
              <w:jc w:val="center"/>
              <w:rPr>
                <w:sz w:val="20"/>
              </w:rPr>
            </w:pPr>
            <w:r>
              <w:rPr>
                <w:sz w:val="20"/>
              </w:rPr>
              <w:t>25</w:t>
            </w:r>
          </w:p>
        </w:tc>
      </w:tr>
      <w:tr>
        <w:trPr/>
        <w:tc>
          <w:tcPr>
            <w:tcW w:w="1481" w:type="dxa"/>
            <w:tcBorders/>
            <w:shd w:fill="FFFFFF" w:val="clear"/>
            <w:vAlign w:val="center"/>
          </w:tcPr>
          <w:p>
            <w:pPr>
              <w:pStyle w:val="TableContents"/>
              <w:bidi w:val="0"/>
              <w:spacing w:before="0" w:after="283"/>
              <w:jc w:val="left"/>
              <w:rPr>
                <w:sz w:val="20"/>
              </w:rPr>
            </w:pPr>
            <w:r>
              <w:rPr>
                <w:sz w:val="20"/>
              </w:rPr>
              <w:t>Section 7.09</w:t>
            </w:r>
          </w:p>
        </w:tc>
        <w:tc>
          <w:tcPr>
            <w:tcW w:w="6788" w:type="dxa"/>
            <w:tcBorders/>
            <w:shd w:fill="FFFFFF" w:val="clear"/>
            <w:vAlign w:val="center"/>
          </w:tcPr>
          <w:p>
            <w:pPr>
              <w:pStyle w:val="TableContents"/>
              <w:bidi w:val="0"/>
              <w:spacing w:before="0" w:after="283"/>
              <w:jc w:val="left"/>
              <w:rPr>
                <w:sz w:val="20"/>
              </w:rPr>
            </w:pPr>
            <w:r>
              <w:rPr>
                <w:sz w:val="20"/>
              </w:rPr>
              <w:t>Corporate Trustee Required; Eligibility</w:t>
            </w:r>
          </w:p>
        </w:tc>
        <w:tc>
          <w:tcPr>
            <w:tcW w:w="275" w:type="dxa"/>
            <w:tcBorders/>
            <w:shd w:fill="FFFFFF" w:val="clear"/>
            <w:vAlign w:val="center"/>
          </w:tcPr>
          <w:p>
            <w:pPr>
              <w:pStyle w:val="TableContents"/>
              <w:bidi w:val="0"/>
              <w:spacing w:before="0" w:after="283"/>
              <w:jc w:val="center"/>
              <w:rPr>
                <w:sz w:val="20"/>
              </w:rPr>
            </w:pPr>
            <w:r>
              <w:rPr>
                <w:sz w:val="20"/>
              </w:rPr>
              <w:t>25</w:t>
            </w:r>
          </w:p>
        </w:tc>
      </w:tr>
      <w:tr>
        <w:trPr/>
        <w:tc>
          <w:tcPr>
            <w:tcW w:w="1481" w:type="dxa"/>
            <w:tcBorders/>
            <w:shd w:fill="CCEEFF" w:val="clear"/>
            <w:vAlign w:val="center"/>
          </w:tcPr>
          <w:p>
            <w:pPr>
              <w:pStyle w:val="TableContents"/>
              <w:bidi w:val="0"/>
              <w:spacing w:before="0" w:after="283"/>
              <w:jc w:val="left"/>
              <w:rPr>
                <w:sz w:val="20"/>
              </w:rPr>
            </w:pPr>
            <w:r>
              <w:rPr>
                <w:sz w:val="20"/>
              </w:rPr>
              <w:t>Section 7.10</w:t>
            </w:r>
          </w:p>
        </w:tc>
        <w:tc>
          <w:tcPr>
            <w:tcW w:w="6788" w:type="dxa"/>
            <w:tcBorders/>
            <w:shd w:fill="CCEEFF" w:val="clear"/>
            <w:vAlign w:val="center"/>
          </w:tcPr>
          <w:p>
            <w:pPr>
              <w:pStyle w:val="TableContents"/>
              <w:bidi w:val="0"/>
              <w:spacing w:before="0" w:after="283"/>
              <w:jc w:val="left"/>
              <w:rPr>
                <w:sz w:val="20"/>
              </w:rPr>
            </w:pPr>
            <w:r>
              <w:rPr>
                <w:sz w:val="20"/>
              </w:rPr>
              <w:t>Resignation and Removal; Appointment of Successor</w:t>
            </w:r>
          </w:p>
        </w:tc>
        <w:tc>
          <w:tcPr>
            <w:tcW w:w="275" w:type="dxa"/>
            <w:tcBorders/>
            <w:shd w:fill="CCEEFF" w:val="clear"/>
            <w:vAlign w:val="center"/>
          </w:tcPr>
          <w:p>
            <w:pPr>
              <w:pStyle w:val="TableContents"/>
              <w:bidi w:val="0"/>
              <w:spacing w:before="0" w:after="283"/>
              <w:jc w:val="center"/>
              <w:rPr>
                <w:sz w:val="20"/>
              </w:rPr>
            </w:pPr>
            <w:r>
              <w:rPr>
                <w:sz w:val="20"/>
              </w:rPr>
              <w:t>25</w:t>
            </w:r>
          </w:p>
        </w:tc>
      </w:tr>
      <w:tr>
        <w:trPr/>
        <w:tc>
          <w:tcPr>
            <w:tcW w:w="1481" w:type="dxa"/>
            <w:tcBorders/>
            <w:shd w:fill="FFFFFF" w:val="clear"/>
            <w:vAlign w:val="center"/>
          </w:tcPr>
          <w:p>
            <w:pPr>
              <w:pStyle w:val="TableContents"/>
              <w:bidi w:val="0"/>
              <w:spacing w:before="0" w:after="283"/>
              <w:jc w:val="left"/>
              <w:rPr>
                <w:sz w:val="20"/>
              </w:rPr>
            </w:pPr>
            <w:r>
              <w:rPr>
                <w:sz w:val="20"/>
              </w:rPr>
              <w:t>Section 7.11</w:t>
            </w:r>
          </w:p>
        </w:tc>
        <w:tc>
          <w:tcPr>
            <w:tcW w:w="6788" w:type="dxa"/>
            <w:tcBorders/>
            <w:shd w:fill="FFFFFF" w:val="clear"/>
            <w:vAlign w:val="center"/>
          </w:tcPr>
          <w:p>
            <w:pPr>
              <w:pStyle w:val="TableContents"/>
              <w:bidi w:val="0"/>
              <w:spacing w:before="0" w:after="283"/>
              <w:jc w:val="left"/>
              <w:rPr>
                <w:sz w:val="20"/>
              </w:rPr>
            </w:pPr>
            <w:r>
              <w:rPr>
                <w:sz w:val="20"/>
              </w:rPr>
              <w:t>Acceptance of Appointment By Successor</w:t>
            </w:r>
          </w:p>
        </w:tc>
        <w:tc>
          <w:tcPr>
            <w:tcW w:w="275" w:type="dxa"/>
            <w:tcBorders/>
            <w:shd w:fill="FFFFFF" w:val="clear"/>
            <w:vAlign w:val="center"/>
          </w:tcPr>
          <w:p>
            <w:pPr>
              <w:pStyle w:val="TableContents"/>
              <w:bidi w:val="0"/>
              <w:spacing w:before="0" w:after="283"/>
              <w:jc w:val="center"/>
              <w:rPr>
                <w:sz w:val="20"/>
              </w:rPr>
            </w:pPr>
            <w:r>
              <w:rPr>
                <w:sz w:val="20"/>
              </w:rPr>
              <w:t>26</w:t>
            </w:r>
          </w:p>
        </w:tc>
      </w:tr>
      <w:tr>
        <w:trPr/>
        <w:tc>
          <w:tcPr>
            <w:tcW w:w="1481" w:type="dxa"/>
            <w:tcBorders/>
            <w:shd w:fill="CCEEFF" w:val="clear"/>
            <w:vAlign w:val="center"/>
          </w:tcPr>
          <w:p>
            <w:pPr>
              <w:pStyle w:val="TableContents"/>
              <w:bidi w:val="0"/>
              <w:spacing w:before="0" w:after="283"/>
              <w:jc w:val="left"/>
              <w:rPr>
                <w:sz w:val="20"/>
              </w:rPr>
            </w:pPr>
            <w:r>
              <w:rPr>
                <w:sz w:val="20"/>
              </w:rPr>
              <w:t>Section 7.12</w:t>
            </w:r>
          </w:p>
        </w:tc>
        <w:tc>
          <w:tcPr>
            <w:tcW w:w="6788" w:type="dxa"/>
            <w:tcBorders/>
            <w:shd w:fill="CCEEFF" w:val="clear"/>
            <w:vAlign w:val="center"/>
          </w:tcPr>
          <w:p>
            <w:pPr>
              <w:pStyle w:val="TableContents"/>
              <w:bidi w:val="0"/>
              <w:spacing w:before="0" w:after="283"/>
              <w:jc w:val="left"/>
              <w:rPr>
                <w:sz w:val="20"/>
              </w:rPr>
            </w:pPr>
            <w:r>
              <w:rPr>
                <w:sz w:val="20"/>
              </w:rPr>
              <w:t>Merger, Conversion, Consolidation or Succession to Business</w:t>
            </w:r>
          </w:p>
        </w:tc>
        <w:tc>
          <w:tcPr>
            <w:tcW w:w="275" w:type="dxa"/>
            <w:tcBorders/>
            <w:shd w:fill="CCEEFF" w:val="clear"/>
            <w:vAlign w:val="center"/>
          </w:tcPr>
          <w:p>
            <w:pPr>
              <w:pStyle w:val="TableContents"/>
              <w:bidi w:val="0"/>
              <w:spacing w:before="0" w:after="283"/>
              <w:jc w:val="center"/>
              <w:rPr>
                <w:sz w:val="20"/>
              </w:rPr>
            </w:pPr>
            <w:r>
              <w:rPr>
                <w:sz w:val="20"/>
              </w:rPr>
              <w:t>27</w:t>
            </w:r>
          </w:p>
        </w:tc>
      </w:tr>
      <w:tr>
        <w:trPr/>
        <w:tc>
          <w:tcPr>
            <w:tcW w:w="1481" w:type="dxa"/>
            <w:tcBorders/>
            <w:shd w:fill="FFFFFF" w:val="clear"/>
            <w:vAlign w:val="center"/>
          </w:tcPr>
          <w:p>
            <w:pPr>
              <w:pStyle w:val="TableContents"/>
              <w:bidi w:val="0"/>
              <w:spacing w:before="0" w:after="283"/>
              <w:jc w:val="left"/>
              <w:rPr>
                <w:sz w:val="20"/>
              </w:rPr>
            </w:pPr>
            <w:r>
              <w:rPr>
                <w:sz w:val="20"/>
              </w:rPr>
              <w:t>Section 7.13</w:t>
            </w:r>
          </w:p>
        </w:tc>
        <w:tc>
          <w:tcPr>
            <w:tcW w:w="6788" w:type="dxa"/>
            <w:tcBorders/>
            <w:shd w:fill="FFFFFF" w:val="clear"/>
            <w:vAlign w:val="center"/>
          </w:tcPr>
          <w:p>
            <w:pPr>
              <w:pStyle w:val="TableContents"/>
              <w:bidi w:val="0"/>
              <w:spacing w:before="0" w:after="283"/>
              <w:jc w:val="left"/>
              <w:rPr>
                <w:sz w:val="20"/>
              </w:rPr>
            </w:pPr>
            <w:r>
              <w:rPr>
                <w:sz w:val="20"/>
              </w:rPr>
              <w:t>Preferential Collection of Claims Against the Company</w:t>
            </w:r>
          </w:p>
        </w:tc>
        <w:tc>
          <w:tcPr>
            <w:tcW w:w="275" w:type="dxa"/>
            <w:tcBorders/>
            <w:shd w:fill="FFFFFF" w:val="clear"/>
            <w:vAlign w:val="center"/>
          </w:tcPr>
          <w:p>
            <w:pPr>
              <w:pStyle w:val="TableContents"/>
              <w:bidi w:val="0"/>
              <w:spacing w:before="0" w:after="283"/>
              <w:jc w:val="center"/>
              <w:rPr>
                <w:sz w:val="20"/>
              </w:rPr>
            </w:pPr>
            <w:r>
              <w:rPr>
                <w:sz w:val="20"/>
              </w:rPr>
              <w:t>27</w:t>
            </w:r>
          </w:p>
        </w:tc>
      </w:tr>
      <w:tr>
        <w:trPr/>
        <w:tc>
          <w:tcPr>
            <w:tcW w:w="1481" w:type="dxa"/>
            <w:tcBorders/>
            <w:shd w:fill="CCEEFF" w:val="clear"/>
            <w:vAlign w:val="center"/>
          </w:tcPr>
          <w:p>
            <w:pPr>
              <w:pStyle w:val="TableContents"/>
              <w:bidi w:val="0"/>
              <w:spacing w:before="0" w:after="283"/>
              <w:jc w:val="left"/>
              <w:rPr>
                <w:sz w:val="20"/>
              </w:rPr>
            </w:pPr>
            <w:r>
              <w:rPr>
                <w:sz w:val="20"/>
              </w:rPr>
              <w:t>Section 7.14</w:t>
            </w:r>
          </w:p>
        </w:tc>
        <w:tc>
          <w:tcPr>
            <w:tcW w:w="6788" w:type="dxa"/>
            <w:tcBorders/>
            <w:shd w:fill="CCEEFF" w:val="clear"/>
            <w:vAlign w:val="center"/>
          </w:tcPr>
          <w:p>
            <w:pPr>
              <w:pStyle w:val="TableContents"/>
              <w:bidi w:val="0"/>
              <w:spacing w:before="0" w:after="283"/>
              <w:jc w:val="left"/>
              <w:rPr>
                <w:sz w:val="20"/>
              </w:rPr>
            </w:pPr>
            <w:r>
              <w:rPr>
                <w:sz w:val="20"/>
              </w:rPr>
              <w:t>Notice of Default.</w:t>
            </w:r>
          </w:p>
        </w:tc>
        <w:tc>
          <w:tcPr>
            <w:tcW w:w="275" w:type="dxa"/>
            <w:tcBorders/>
            <w:shd w:fill="CCEEFF" w:val="clear"/>
            <w:vAlign w:val="center"/>
          </w:tcPr>
          <w:p>
            <w:pPr>
              <w:pStyle w:val="TableContents"/>
              <w:bidi w:val="0"/>
              <w:spacing w:before="0" w:after="283"/>
              <w:jc w:val="center"/>
              <w:rPr>
                <w:sz w:val="20"/>
              </w:rPr>
            </w:pPr>
            <w:r>
              <w:rPr>
                <w:sz w:val="20"/>
              </w:rPr>
              <w:t>27</w:t>
            </w:r>
          </w:p>
        </w:tc>
      </w:tr>
      <w:tr>
        <w:trPr/>
        <w:tc>
          <w:tcPr>
            <w:tcW w:w="8269" w:type="dxa"/>
            <w:gridSpan w:val="2"/>
            <w:tcBorders/>
            <w:shd w:fill="FFFFFF" w:val="clear"/>
            <w:vAlign w:val="center"/>
          </w:tcPr>
          <w:p>
            <w:pPr>
              <w:pStyle w:val="TableContents"/>
              <w:bidi w:val="0"/>
              <w:spacing w:before="0" w:after="283"/>
              <w:jc w:val="left"/>
              <w:rPr>
                <w:caps/>
                <w:sz w:val="20"/>
              </w:rPr>
            </w:pPr>
            <w:r>
              <w:rPr>
                <w:caps/>
                <w:sz w:val="20"/>
              </w:rPr>
              <w:t>article 8 CONCERNING THE SECURITYHOLDERS</w:t>
            </w:r>
          </w:p>
        </w:tc>
        <w:tc>
          <w:tcPr>
            <w:tcW w:w="275" w:type="dxa"/>
            <w:tcBorders/>
            <w:shd w:fill="FFFFFF" w:val="clear"/>
            <w:vAlign w:val="center"/>
          </w:tcPr>
          <w:p>
            <w:pPr>
              <w:pStyle w:val="TableContents"/>
              <w:bidi w:val="0"/>
              <w:spacing w:before="0" w:after="283"/>
              <w:jc w:val="center"/>
              <w:rPr>
                <w:caps/>
                <w:sz w:val="20"/>
              </w:rPr>
            </w:pPr>
            <w:r>
              <w:rPr>
                <w:caps/>
                <w:sz w:val="20"/>
              </w:rPr>
              <w:t>28</w:t>
            </w:r>
          </w:p>
        </w:tc>
      </w:tr>
      <w:tr>
        <w:trPr/>
        <w:tc>
          <w:tcPr>
            <w:tcW w:w="1481" w:type="dxa"/>
            <w:tcBorders/>
            <w:shd w:fill="CCEEFF" w:val="clear"/>
            <w:vAlign w:val="center"/>
          </w:tcPr>
          <w:p>
            <w:pPr>
              <w:pStyle w:val="TableContents"/>
              <w:bidi w:val="0"/>
              <w:spacing w:before="0" w:after="283"/>
              <w:jc w:val="left"/>
              <w:rPr>
                <w:sz w:val="20"/>
              </w:rPr>
            </w:pPr>
            <w:r>
              <w:rPr>
                <w:sz w:val="20"/>
              </w:rPr>
              <w:t>Section 8.01</w:t>
            </w:r>
          </w:p>
        </w:tc>
        <w:tc>
          <w:tcPr>
            <w:tcW w:w="6788" w:type="dxa"/>
            <w:tcBorders/>
            <w:shd w:fill="CCEEFF" w:val="clear"/>
            <w:vAlign w:val="center"/>
          </w:tcPr>
          <w:p>
            <w:pPr>
              <w:pStyle w:val="TableContents"/>
              <w:bidi w:val="0"/>
              <w:spacing w:before="0" w:after="283"/>
              <w:jc w:val="left"/>
              <w:rPr>
                <w:sz w:val="20"/>
              </w:rPr>
            </w:pPr>
            <w:r>
              <w:rPr>
                <w:sz w:val="20"/>
              </w:rPr>
              <w:t>Evidence of Action by Securityholders</w:t>
            </w:r>
          </w:p>
        </w:tc>
        <w:tc>
          <w:tcPr>
            <w:tcW w:w="275" w:type="dxa"/>
            <w:tcBorders/>
            <w:shd w:fill="CCEEFF" w:val="clear"/>
            <w:vAlign w:val="center"/>
          </w:tcPr>
          <w:p>
            <w:pPr>
              <w:pStyle w:val="TableContents"/>
              <w:bidi w:val="0"/>
              <w:spacing w:before="0" w:after="283"/>
              <w:jc w:val="center"/>
              <w:rPr>
                <w:sz w:val="20"/>
              </w:rPr>
            </w:pPr>
            <w:r>
              <w:rPr>
                <w:sz w:val="20"/>
              </w:rPr>
              <w:t>28</w:t>
            </w:r>
          </w:p>
        </w:tc>
      </w:tr>
      <w:tr>
        <w:trPr/>
        <w:tc>
          <w:tcPr>
            <w:tcW w:w="1481" w:type="dxa"/>
            <w:tcBorders/>
            <w:shd w:fill="FFFFFF" w:val="clear"/>
            <w:vAlign w:val="center"/>
          </w:tcPr>
          <w:p>
            <w:pPr>
              <w:pStyle w:val="TableContents"/>
              <w:bidi w:val="0"/>
              <w:spacing w:before="0" w:after="283"/>
              <w:jc w:val="left"/>
              <w:rPr>
                <w:sz w:val="20"/>
              </w:rPr>
            </w:pPr>
            <w:r>
              <w:rPr>
                <w:sz w:val="20"/>
              </w:rPr>
              <w:t>Section 8.02</w:t>
            </w:r>
          </w:p>
        </w:tc>
        <w:tc>
          <w:tcPr>
            <w:tcW w:w="6788" w:type="dxa"/>
            <w:tcBorders/>
            <w:shd w:fill="FFFFFF" w:val="clear"/>
            <w:vAlign w:val="center"/>
          </w:tcPr>
          <w:p>
            <w:pPr>
              <w:pStyle w:val="TableContents"/>
              <w:bidi w:val="0"/>
              <w:spacing w:before="0" w:after="283"/>
              <w:jc w:val="left"/>
              <w:rPr>
                <w:sz w:val="20"/>
              </w:rPr>
            </w:pPr>
            <w:r>
              <w:rPr>
                <w:sz w:val="20"/>
              </w:rPr>
              <w:t>Proof of Execution by Securityholders</w:t>
            </w:r>
          </w:p>
        </w:tc>
        <w:tc>
          <w:tcPr>
            <w:tcW w:w="275" w:type="dxa"/>
            <w:tcBorders/>
            <w:shd w:fill="FFFFFF" w:val="clear"/>
            <w:vAlign w:val="center"/>
          </w:tcPr>
          <w:p>
            <w:pPr>
              <w:pStyle w:val="TableContents"/>
              <w:bidi w:val="0"/>
              <w:spacing w:before="0" w:after="283"/>
              <w:jc w:val="center"/>
              <w:rPr>
                <w:sz w:val="20"/>
              </w:rPr>
            </w:pPr>
            <w:r>
              <w:rPr>
                <w:sz w:val="20"/>
              </w:rPr>
              <w:t>28</w:t>
            </w:r>
          </w:p>
        </w:tc>
      </w:tr>
      <w:tr>
        <w:trPr/>
        <w:tc>
          <w:tcPr>
            <w:tcW w:w="1481" w:type="dxa"/>
            <w:tcBorders/>
            <w:shd w:fill="CCEEFF" w:val="clear"/>
            <w:vAlign w:val="center"/>
          </w:tcPr>
          <w:p>
            <w:pPr>
              <w:pStyle w:val="TableContents"/>
              <w:bidi w:val="0"/>
              <w:spacing w:before="0" w:after="283"/>
              <w:jc w:val="left"/>
              <w:rPr>
                <w:sz w:val="20"/>
              </w:rPr>
            </w:pPr>
            <w:r>
              <w:rPr>
                <w:sz w:val="20"/>
              </w:rPr>
              <w:t>Section 8.03</w:t>
            </w:r>
          </w:p>
        </w:tc>
        <w:tc>
          <w:tcPr>
            <w:tcW w:w="6788" w:type="dxa"/>
            <w:tcBorders/>
            <w:shd w:fill="CCEEFF" w:val="clear"/>
            <w:vAlign w:val="center"/>
          </w:tcPr>
          <w:p>
            <w:pPr>
              <w:pStyle w:val="TableContents"/>
              <w:bidi w:val="0"/>
              <w:spacing w:before="0" w:after="283"/>
              <w:jc w:val="left"/>
              <w:rPr>
                <w:sz w:val="20"/>
              </w:rPr>
            </w:pPr>
            <w:r>
              <w:rPr>
                <w:sz w:val="20"/>
              </w:rPr>
              <w:t>Who May be Deemed Owners</w:t>
            </w:r>
          </w:p>
        </w:tc>
        <w:tc>
          <w:tcPr>
            <w:tcW w:w="275" w:type="dxa"/>
            <w:tcBorders/>
            <w:shd w:fill="CCEEFF" w:val="clear"/>
            <w:vAlign w:val="center"/>
          </w:tcPr>
          <w:p>
            <w:pPr>
              <w:pStyle w:val="TableContents"/>
              <w:bidi w:val="0"/>
              <w:spacing w:before="0" w:after="283"/>
              <w:jc w:val="center"/>
              <w:rPr>
                <w:sz w:val="20"/>
              </w:rPr>
            </w:pPr>
            <w:r>
              <w:rPr>
                <w:sz w:val="20"/>
              </w:rPr>
              <w:t>28</w:t>
            </w:r>
          </w:p>
        </w:tc>
      </w:tr>
      <w:tr>
        <w:trPr/>
        <w:tc>
          <w:tcPr>
            <w:tcW w:w="1481" w:type="dxa"/>
            <w:tcBorders/>
            <w:shd w:fill="FFFFFF" w:val="clear"/>
            <w:vAlign w:val="center"/>
          </w:tcPr>
          <w:p>
            <w:pPr>
              <w:pStyle w:val="TableContents"/>
              <w:bidi w:val="0"/>
              <w:spacing w:before="0" w:after="283"/>
              <w:jc w:val="left"/>
              <w:rPr>
                <w:sz w:val="20"/>
              </w:rPr>
            </w:pPr>
            <w:r>
              <w:rPr>
                <w:sz w:val="20"/>
              </w:rPr>
              <w:t>Section 8.04</w:t>
            </w:r>
          </w:p>
        </w:tc>
        <w:tc>
          <w:tcPr>
            <w:tcW w:w="6788" w:type="dxa"/>
            <w:tcBorders/>
            <w:shd w:fill="FFFFFF" w:val="clear"/>
            <w:vAlign w:val="center"/>
          </w:tcPr>
          <w:p>
            <w:pPr>
              <w:pStyle w:val="TableContents"/>
              <w:bidi w:val="0"/>
              <w:spacing w:before="0" w:after="283"/>
              <w:jc w:val="left"/>
              <w:rPr>
                <w:sz w:val="20"/>
              </w:rPr>
            </w:pPr>
            <w:r>
              <w:rPr>
                <w:sz w:val="20"/>
              </w:rPr>
              <w:t>Certain Securities Owned by Company Disregarded</w:t>
            </w:r>
          </w:p>
        </w:tc>
        <w:tc>
          <w:tcPr>
            <w:tcW w:w="275" w:type="dxa"/>
            <w:tcBorders/>
            <w:shd w:fill="FFFFFF" w:val="clear"/>
            <w:vAlign w:val="center"/>
          </w:tcPr>
          <w:p>
            <w:pPr>
              <w:pStyle w:val="TableContents"/>
              <w:bidi w:val="0"/>
              <w:spacing w:before="0" w:after="283"/>
              <w:jc w:val="center"/>
              <w:rPr>
                <w:sz w:val="20"/>
              </w:rPr>
            </w:pPr>
            <w:r>
              <w:rPr>
                <w:sz w:val="20"/>
              </w:rPr>
              <w:t>28</w:t>
            </w:r>
          </w:p>
        </w:tc>
      </w:tr>
      <w:tr>
        <w:trPr/>
        <w:tc>
          <w:tcPr>
            <w:tcW w:w="1481" w:type="dxa"/>
            <w:tcBorders/>
            <w:shd w:fill="CCEEFF" w:val="clear"/>
            <w:vAlign w:val="center"/>
          </w:tcPr>
          <w:p>
            <w:pPr>
              <w:pStyle w:val="TableContents"/>
              <w:bidi w:val="0"/>
              <w:spacing w:before="0" w:after="283"/>
              <w:jc w:val="left"/>
              <w:rPr>
                <w:sz w:val="20"/>
              </w:rPr>
            </w:pPr>
            <w:r>
              <w:rPr>
                <w:sz w:val="20"/>
              </w:rPr>
              <w:t>Section 8.05</w:t>
            </w:r>
          </w:p>
        </w:tc>
        <w:tc>
          <w:tcPr>
            <w:tcW w:w="6788" w:type="dxa"/>
            <w:tcBorders/>
            <w:shd w:fill="CCEEFF" w:val="clear"/>
            <w:vAlign w:val="center"/>
          </w:tcPr>
          <w:p>
            <w:pPr>
              <w:pStyle w:val="TableContents"/>
              <w:bidi w:val="0"/>
              <w:spacing w:before="0" w:after="283"/>
              <w:jc w:val="left"/>
              <w:rPr>
                <w:sz w:val="20"/>
              </w:rPr>
            </w:pPr>
            <w:r>
              <w:rPr>
                <w:sz w:val="20"/>
              </w:rPr>
              <w:t>Actions Binding on Future Securityholders</w:t>
            </w:r>
          </w:p>
        </w:tc>
        <w:tc>
          <w:tcPr>
            <w:tcW w:w="275" w:type="dxa"/>
            <w:tcBorders/>
            <w:shd w:fill="CCEEFF" w:val="clear"/>
            <w:vAlign w:val="center"/>
          </w:tcPr>
          <w:p>
            <w:pPr>
              <w:pStyle w:val="TableContents"/>
              <w:bidi w:val="0"/>
              <w:spacing w:before="0" w:after="283"/>
              <w:jc w:val="center"/>
              <w:rPr>
                <w:sz w:val="20"/>
              </w:rPr>
            </w:pPr>
            <w:r>
              <w:rPr>
                <w:sz w:val="20"/>
              </w:rPr>
              <w:t>29</w:t>
            </w:r>
          </w:p>
        </w:tc>
      </w:tr>
      <w:tr>
        <w:trPr/>
        <w:tc>
          <w:tcPr>
            <w:tcW w:w="8269" w:type="dxa"/>
            <w:gridSpan w:val="2"/>
            <w:tcBorders/>
            <w:shd w:fill="FFFFFF" w:val="clear"/>
            <w:vAlign w:val="center"/>
          </w:tcPr>
          <w:p>
            <w:pPr>
              <w:pStyle w:val="TableContents"/>
              <w:bidi w:val="0"/>
              <w:spacing w:before="0" w:after="283"/>
              <w:jc w:val="left"/>
              <w:rPr>
                <w:caps/>
                <w:sz w:val="20"/>
              </w:rPr>
            </w:pPr>
            <w:r>
              <w:rPr>
                <w:caps/>
                <w:sz w:val="20"/>
              </w:rPr>
              <w:t>article 9 SUPPLEMENTAL INDENTURES</w:t>
            </w:r>
          </w:p>
        </w:tc>
        <w:tc>
          <w:tcPr>
            <w:tcW w:w="275" w:type="dxa"/>
            <w:tcBorders/>
            <w:shd w:fill="FFFFFF" w:val="clear"/>
            <w:vAlign w:val="center"/>
          </w:tcPr>
          <w:p>
            <w:pPr>
              <w:pStyle w:val="TableContents"/>
              <w:bidi w:val="0"/>
              <w:spacing w:before="0" w:after="283"/>
              <w:jc w:val="center"/>
              <w:rPr>
                <w:sz w:val="20"/>
              </w:rPr>
            </w:pPr>
            <w:r>
              <w:rPr>
                <w:sz w:val="20"/>
              </w:rPr>
              <w:t>29</w:t>
            </w:r>
          </w:p>
        </w:tc>
      </w:tr>
      <w:tr>
        <w:trPr/>
        <w:tc>
          <w:tcPr>
            <w:tcW w:w="1481" w:type="dxa"/>
            <w:tcBorders/>
            <w:shd w:fill="CCEEFF" w:val="clear"/>
            <w:vAlign w:val="center"/>
          </w:tcPr>
          <w:p>
            <w:pPr>
              <w:pStyle w:val="TableContents"/>
              <w:bidi w:val="0"/>
              <w:spacing w:before="0" w:after="283"/>
              <w:jc w:val="left"/>
              <w:rPr>
                <w:sz w:val="20"/>
              </w:rPr>
            </w:pPr>
            <w:r>
              <w:rPr>
                <w:sz w:val="20"/>
              </w:rPr>
              <w:t>Section 9.01</w:t>
            </w:r>
          </w:p>
        </w:tc>
        <w:tc>
          <w:tcPr>
            <w:tcW w:w="6788" w:type="dxa"/>
            <w:tcBorders/>
            <w:shd w:fill="CCEEFF" w:val="clear"/>
            <w:vAlign w:val="center"/>
          </w:tcPr>
          <w:p>
            <w:pPr>
              <w:pStyle w:val="TableContents"/>
              <w:bidi w:val="0"/>
              <w:spacing w:before="0" w:after="283"/>
              <w:jc w:val="left"/>
              <w:rPr>
                <w:sz w:val="20"/>
              </w:rPr>
            </w:pPr>
            <w:r>
              <w:rPr>
                <w:sz w:val="20"/>
              </w:rPr>
              <w:t>Supplemental Indentures Without the Consent of Securityholders</w:t>
            </w:r>
          </w:p>
        </w:tc>
        <w:tc>
          <w:tcPr>
            <w:tcW w:w="275" w:type="dxa"/>
            <w:tcBorders/>
            <w:shd w:fill="CCEEFF" w:val="clear"/>
            <w:vAlign w:val="center"/>
          </w:tcPr>
          <w:p>
            <w:pPr>
              <w:pStyle w:val="TableContents"/>
              <w:bidi w:val="0"/>
              <w:spacing w:before="0" w:after="283"/>
              <w:jc w:val="center"/>
              <w:rPr>
                <w:sz w:val="20"/>
              </w:rPr>
            </w:pPr>
            <w:r>
              <w:rPr>
                <w:sz w:val="20"/>
              </w:rPr>
              <w:t>29</w:t>
            </w:r>
          </w:p>
        </w:tc>
      </w:tr>
      <w:tr>
        <w:trPr/>
        <w:tc>
          <w:tcPr>
            <w:tcW w:w="1481" w:type="dxa"/>
            <w:tcBorders/>
            <w:shd w:fill="FFFFFF" w:val="clear"/>
            <w:vAlign w:val="center"/>
          </w:tcPr>
          <w:p>
            <w:pPr>
              <w:pStyle w:val="TableContents"/>
              <w:bidi w:val="0"/>
              <w:spacing w:before="0" w:after="283"/>
              <w:jc w:val="left"/>
              <w:rPr>
                <w:sz w:val="20"/>
              </w:rPr>
            </w:pPr>
            <w:r>
              <w:rPr>
                <w:sz w:val="20"/>
              </w:rPr>
              <w:t>Section 9.02</w:t>
            </w:r>
          </w:p>
        </w:tc>
        <w:tc>
          <w:tcPr>
            <w:tcW w:w="6788" w:type="dxa"/>
            <w:tcBorders/>
            <w:shd w:fill="FFFFFF" w:val="clear"/>
            <w:vAlign w:val="center"/>
          </w:tcPr>
          <w:p>
            <w:pPr>
              <w:pStyle w:val="TableContents"/>
              <w:bidi w:val="0"/>
              <w:spacing w:before="0" w:after="283"/>
              <w:jc w:val="left"/>
              <w:rPr>
                <w:sz w:val="20"/>
              </w:rPr>
            </w:pPr>
            <w:r>
              <w:rPr>
                <w:sz w:val="20"/>
              </w:rPr>
              <w:t>Supplemental Indentures With Consent of Securityholders</w:t>
            </w:r>
          </w:p>
        </w:tc>
        <w:tc>
          <w:tcPr>
            <w:tcW w:w="275" w:type="dxa"/>
            <w:tcBorders/>
            <w:shd w:fill="FFFFFF" w:val="clear"/>
            <w:vAlign w:val="center"/>
          </w:tcPr>
          <w:p>
            <w:pPr>
              <w:pStyle w:val="TableContents"/>
              <w:bidi w:val="0"/>
              <w:spacing w:before="0" w:after="283"/>
              <w:jc w:val="center"/>
              <w:rPr>
                <w:sz w:val="20"/>
              </w:rPr>
            </w:pPr>
            <w:r>
              <w:rPr>
                <w:sz w:val="20"/>
              </w:rPr>
              <w:t>30</w:t>
            </w:r>
          </w:p>
        </w:tc>
      </w:tr>
      <w:tr>
        <w:trPr/>
        <w:tc>
          <w:tcPr>
            <w:tcW w:w="1481" w:type="dxa"/>
            <w:tcBorders/>
            <w:shd w:fill="CCEEFF" w:val="clear"/>
            <w:vAlign w:val="center"/>
          </w:tcPr>
          <w:p>
            <w:pPr>
              <w:pStyle w:val="TableContents"/>
              <w:bidi w:val="0"/>
              <w:spacing w:before="0" w:after="283"/>
              <w:jc w:val="left"/>
              <w:rPr>
                <w:sz w:val="20"/>
              </w:rPr>
            </w:pPr>
            <w:r>
              <w:rPr>
                <w:sz w:val="20"/>
              </w:rPr>
              <w:t>Section 9.03</w:t>
            </w:r>
          </w:p>
        </w:tc>
        <w:tc>
          <w:tcPr>
            <w:tcW w:w="6788" w:type="dxa"/>
            <w:tcBorders/>
            <w:shd w:fill="CCEEFF" w:val="clear"/>
            <w:vAlign w:val="center"/>
          </w:tcPr>
          <w:p>
            <w:pPr>
              <w:pStyle w:val="TableContents"/>
              <w:bidi w:val="0"/>
              <w:spacing w:before="0" w:after="283"/>
              <w:jc w:val="left"/>
              <w:rPr>
                <w:sz w:val="20"/>
              </w:rPr>
            </w:pPr>
            <w:r>
              <w:rPr>
                <w:sz w:val="20"/>
              </w:rPr>
              <w:t>Effect of Supplemental Indentures</w:t>
            </w:r>
          </w:p>
        </w:tc>
        <w:tc>
          <w:tcPr>
            <w:tcW w:w="275" w:type="dxa"/>
            <w:tcBorders/>
            <w:shd w:fill="CCEEFF" w:val="clear"/>
            <w:vAlign w:val="center"/>
          </w:tcPr>
          <w:p>
            <w:pPr>
              <w:pStyle w:val="TableContents"/>
              <w:bidi w:val="0"/>
              <w:spacing w:before="0" w:after="283"/>
              <w:jc w:val="center"/>
              <w:rPr>
                <w:sz w:val="20"/>
              </w:rPr>
            </w:pPr>
            <w:r>
              <w:rPr>
                <w:sz w:val="20"/>
              </w:rPr>
              <w:t>30</w:t>
            </w:r>
          </w:p>
        </w:tc>
      </w:tr>
      <w:tr>
        <w:trPr/>
        <w:tc>
          <w:tcPr>
            <w:tcW w:w="1481" w:type="dxa"/>
            <w:tcBorders/>
            <w:shd w:fill="FFFFFF" w:val="clear"/>
            <w:vAlign w:val="center"/>
          </w:tcPr>
          <w:p>
            <w:pPr>
              <w:pStyle w:val="TableContents"/>
              <w:bidi w:val="0"/>
              <w:spacing w:before="0" w:after="283"/>
              <w:jc w:val="left"/>
              <w:rPr>
                <w:sz w:val="20"/>
              </w:rPr>
            </w:pPr>
            <w:r>
              <w:rPr>
                <w:sz w:val="20"/>
              </w:rPr>
              <w:t>Section 9.04</w:t>
            </w:r>
          </w:p>
        </w:tc>
        <w:tc>
          <w:tcPr>
            <w:tcW w:w="6788" w:type="dxa"/>
            <w:tcBorders/>
            <w:shd w:fill="FFFFFF" w:val="clear"/>
            <w:vAlign w:val="center"/>
          </w:tcPr>
          <w:p>
            <w:pPr>
              <w:pStyle w:val="TableContents"/>
              <w:bidi w:val="0"/>
              <w:spacing w:before="0" w:after="283"/>
              <w:jc w:val="left"/>
              <w:rPr>
                <w:sz w:val="20"/>
              </w:rPr>
            </w:pPr>
            <w:r>
              <w:rPr>
                <w:sz w:val="20"/>
              </w:rPr>
              <w:t>Securities Affected by Supplemental Indentures</w:t>
            </w:r>
          </w:p>
        </w:tc>
        <w:tc>
          <w:tcPr>
            <w:tcW w:w="275" w:type="dxa"/>
            <w:tcBorders/>
            <w:shd w:fill="FFFFFF" w:val="clear"/>
            <w:vAlign w:val="center"/>
          </w:tcPr>
          <w:p>
            <w:pPr>
              <w:pStyle w:val="TableContents"/>
              <w:bidi w:val="0"/>
              <w:spacing w:before="0" w:after="283"/>
              <w:jc w:val="center"/>
              <w:rPr>
                <w:sz w:val="20"/>
              </w:rPr>
            </w:pPr>
            <w:r>
              <w:rPr>
                <w:sz w:val="20"/>
              </w:rPr>
              <w:t>30</w:t>
            </w:r>
          </w:p>
        </w:tc>
      </w:tr>
      <w:tr>
        <w:trPr/>
        <w:tc>
          <w:tcPr>
            <w:tcW w:w="1481" w:type="dxa"/>
            <w:tcBorders/>
            <w:shd w:fill="CCEEFF" w:val="clear"/>
            <w:vAlign w:val="center"/>
          </w:tcPr>
          <w:p>
            <w:pPr>
              <w:pStyle w:val="TableContents"/>
              <w:bidi w:val="0"/>
              <w:spacing w:before="0" w:after="283"/>
              <w:jc w:val="left"/>
              <w:rPr>
                <w:sz w:val="20"/>
              </w:rPr>
            </w:pPr>
            <w:r>
              <w:rPr>
                <w:sz w:val="20"/>
              </w:rPr>
              <w:t>Section 9.05</w:t>
            </w:r>
          </w:p>
        </w:tc>
        <w:tc>
          <w:tcPr>
            <w:tcW w:w="6788" w:type="dxa"/>
            <w:tcBorders/>
            <w:shd w:fill="CCEEFF" w:val="clear"/>
            <w:vAlign w:val="center"/>
          </w:tcPr>
          <w:p>
            <w:pPr>
              <w:pStyle w:val="TableContents"/>
              <w:bidi w:val="0"/>
              <w:spacing w:before="0" w:after="283"/>
              <w:jc w:val="left"/>
              <w:rPr>
                <w:sz w:val="20"/>
              </w:rPr>
            </w:pPr>
            <w:r>
              <w:rPr>
                <w:sz w:val="20"/>
              </w:rPr>
              <w:t>Execution of Supplemental Indentures</w:t>
            </w:r>
          </w:p>
        </w:tc>
        <w:tc>
          <w:tcPr>
            <w:tcW w:w="275" w:type="dxa"/>
            <w:tcBorders/>
            <w:shd w:fill="CCEEFF" w:val="clear"/>
            <w:vAlign w:val="center"/>
          </w:tcPr>
          <w:p>
            <w:pPr>
              <w:pStyle w:val="TableContents"/>
              <w:bidi w:val="0"/>
              <w:spacing w:before="0" w:after="283"/>
              <w:jc w:val="center"/>
              <w:rPr>
                <w:sz w:val="20"/>
              </w:rPr>
            </w:pPr>
            <w:r>
              <w:rPr>
                <w:sz w:val="20"/>
              </w:rPr>
              <w:t>31</w:t>
            </w:r>
          </w:p>
        </w:tc>
      </w:tr>
      <w:tr>
        <w:trPr/>
        <w:tc>
          <w:tcPr>
            <w:tcW w:w="8269" w:type="dxa"/>
            <w:gridSpan w:val="2"/>
            <w:tcBorders/>
            <w:shd w:fill="FFFFFF" w:val="clear"/>
            <w:vAlign w:val="center"/>
          </w:tcPr>
          <w:p>
            <w:pPr>
              <w:pStyle w:val="TableContents"/>
              <w:bidi w:val="0"/>
              <w:spacing w:before="0" w:after="283"/>
              <w:jc w:val="left"/>
              <w:rPr>
                <w:caps/>
                <w:sz w:val="20"/>
              </w:rPr>
            </w:pPr>
            <w:r>
              <w:rPr>
                <w:caps/>
                <w:sz w:val="20"/>
              </w:rPr>
              <w:t>article 10 SUCCESSOR ENTITY</w:t>
            </w:r>
          </w:p>
        </w:tc>
        <w:tc>
          <w:tcPr>
            <w:tcW w:w="275" w:type="dxa"/>
            <w:tcBorders/>
            <w:shd w:fill="FFFFFF" w:val="clear"/>
            <w:vAlign w:val="center"/>
          </w:tcPr>
          <w:p>
            <w:pPr>
              <w:pStyle w:val="TableContents"/>
              <w:bidi w:val="0"/>
              <w:spacing w:before="0" w:after="283"/>
              <w:jc w:val="center"/>
              <w:rPr>
                <w:sz w:val="20"/>
              </w:rPr>
            </w:pPr>
            <w:r>
              <w:rPr>
                <w:sz w:val="20"/>
              </w:rPr>
              <w:t>31</w:t>
            </w:r>
          </w:p>
        </w:tc>
      </w:tr>
      <w:tr>
        <w:trPr/>
        <w:tc>
          <w:tcPr>
            <w:tcW w:w="1481" w:type="dxa"/>
            <w:tcBorders/>
            <w:shd w:fill="CCEEFF" w:val="clear"/>
            <w:vAlign w:val="center"/>
          </w:tcPr>
          <w:p>
            <w:pPr>
              <w:pStyle w:val="TableContents"/>
              <w:bidi w:val="0"/>
              <w:spacing w:before="0" w:after="283"/>
              <w:jc w:val="left"/>
              <w:rPr>
                <w:sz w:val="20"/>
              </w:rPr>
            </w:pPr>
            <w:r>
              <w:rPr>
                <w:sz w:val="20"/>
              </w:rPr>
              <w:t>Section 10.01</w:t>
            </w:r>
          </w:p>
        </w:tc>
        <w:tc>
          <w:tcPr>
            <w:tcW w:w="6788" w:type="dxa"/>
            <w:tcBorders/>
            <w:shd w:fill="CCEEFF" w:val="clear"/>
            <w:vAlign w:val="center"/>
          </w:tcPr>
          <w:p>
            <w:pPr>
              <w:pStyle w:val="TableContents"/>
              <w:bidi w:val="0"/>
              <w:spacing w:before="0" w:after="283"/>
              <w:jc w:val="left"/>
              <w:rPr>
                <w:sz w:val="20"/>
              </w:rPr>
            </w:pPr>
            <w:r>
              <w:rPr>
                <w:sz w:val="20"/>
              </w:rPr>
              <w:t>Company May Consolidate, Etc.</w:t>
            </w:r>
          </w:p>
        </w:tc>
        <w:tc>
          <w:tcPr>
            <w:tcW w:w="275" w:type="dxa"/>
            <w:tcBorders/>
            <w:shd w:fill="CCEEFF" w:val="clear"/>
            <w:vAlign w:val="center"/>
          </w:tcPr>
          <w:p>
            <w:pPr>
              <w:pStyle w:val="TableContents"/>
              <w:bidi w:val="0"/>
              <w:spacing w:before="0" w:after="283"/>
              <w:jc w:val="center"/>
              <w:rPr>
                <w:sz w:val="20"/>
              </w:rPr>
            </w:pPr>
            <w:r>
              <w:rPr>
                <w:sz w:val="20"/>
              </w:rPr>
              <w:t>31</w:t>
            </w:r>
          </w:p>
        </w:tc>
      </w:tr>
      <w:tr>
        <w:trPr/>
        <w:tc>
          <w:tcPr>
            <w:tcW w:w="1481" w:type="dxa"/>
            <w:tcBorders/>
            <w:shd w:fill="FFFFFF" w:val="clear"/>
            <w:vAlign w:val="center"/>
          </w:tcPr>
          <w:p>
            <w:pPr>
              <w:pStyle w:val="TableContents"/>
              <w:bidi w:val="0"/>
              <w:spacing w:before="0" w:after="283"/>
              <w:jc w:val="left"/>
              <w:rPr>
                <w:sz w:val="20"/>
              </w:rPr>
            </w:pPr>
            <w:r>
              <w:rPr>
                <w:sz w:val="20"/>
              </w:rPr>
              <w:t>Section 10.02</w:t>
            </w:r>
          </w:p>
        </w:tc>
        <w:tc>
          <w:tcPr>
            <w:tcW w:w="6788" w:type="dxa"/>
            <w:tcBorders/>
            <w:shd w:fill="FFFFFF" w:val="clear"/>
            <w:vAlign w:val="center"/>
          </w:tcPr>
          <w:p>
            <w:pPr>
              <w:pStyle w:val="TableContents"/>
              <w:bidi w:val="0"/>
              <w:spacing w:before="0" w:after="283"/>
              <w:jc w:val="left"/>
              <w:rPr>
                <w:sz w:val="20"/>
              </w:rPr>
            </w:pPr>
            <w:r>
              <w:rPr>
                <w:sz w:val="20"/>
              </w:rPr>
              <w:t>Successor Entity Substituted</w:t>
            </w:r>
          </w:p>
        </w:tc>
        <w:tc>
          <w:tcPr>
            <w:tcW w:w="275" w:type="dxa"/>
            <w:tcBorders/>
            <w:shd w:fill="FFFFFF" w:val="clear"/>
            <w:vAlign w:val="center"/>
          </w:tcPr>
          <w:p>
            <w:pPr>
              <w:pStyle w:val="TableContents"/>
              <w:bidi w:val="0"/>
              <w:spacing w:before="0" w:after="283"/>
              <w:jc w:val="center"/>
              <w:rPr>
                <w:sz w:val="20"/>
              </w:rPr>
            </w:pPr>
            <w:r>
              <w:rPr>
                <w:sz w:val="20"/>
              </w:rPr>
              <w:t>31</w:t>
            </w:r>
          </w:p>
        </w:tc>
      </w:tr>
      <w:tr>
        <w:trPr/>
        <w:tc>
          <w:tcPr>
            <w:tcW w:w="8269" w:type="dxa"/>
            <w:gridSpan w:val="2"/>
            <w:tcBorders/>
            <w:shd w:fill="CCEEFF" w:val="clear"/>
            <w:vAlign w:val="center"/>
          </w:tcPr>
          <w:p>
            <w:pPr>
              <w:pStyle w:val="TableContents"/>
              <w:bidi w:val="0"/>
              <w:spacing w:before="0" w:after="283"/>
              <w:jc w:val="left"/>
              <w:rPr>
                <w:caps/>
                <w:sz w:val="20"/>
              </w:rPr>
            </w:pPr>
            <w:r>
              <w:rPr>
                <w:caps/>
                <w:sz w:val="20"/>
              </w:rPr>
              <w:t>article 11 SATISFACTION AND DISCHARGE</w:t>
            </w:r>
          </w:p>
        </w:tc>
        <w:tc>
          <w:tcPr>
            <w:tcW w:w="275" w:type="dxa"/>
            <w:tcBorders/>
            <w:shd w:fill="CCEEFF" w:val="clear"/>
            <w:vAlign w:val="center"/>
          </w:tcPr>
          <w:p>
            <w:pPr>
              <w:pStyle w:val="TableContents"/>
              <w:bidi w:val="0"/>
              <w:spacing w:before="0" w:after="283"/>
              <w:jc w:val="center"/>
              <w:rPr>
                <w:sz w:val="20"/>
              </w:rPr>
            </w:pPr>
            <w:r>
              <w:rPr>
                <w:sz w:val="20"/>
              </w:rPr>
              <w:t>32</w:t>
            </w:r>
          </w:p>
        </w:tc>
      </w:tr>
      <w:tr>
        <w:trPr/>
        <w:tc>
          <w:tcPr>
            <w:tcW w:w="1481" w:type="dxa"/>
            <w:tcBorders/>
            <w:shd w:fill="FFFFFF" w:val="clear"/>
            <w:vAlign w:val="center"/>
          </w:tcPr>
          <w:p>
            <w:pPr>
              <w:pStyle w:val="TableContents"/>
              <w:bidi w:val="0"/>
              <w:spacing w:before="0" w:after="283"/>
              <w:jc w:val="left"/>
              <w:rPr>
                <w:sz w:val="20"/>
              </w:rPr>
            </w:pPr>
            <w:r>
              <w:rPr>
                <w:sz w:val="20"/>
              </w:rPr>
              <w:t>Section 11.01</w:t>
            </w:r>
          </w:p>
        </w:tc>
        <w:tc>
          <w:tcPr>
            <w:tcW w:w="6788" w:type="dxa"/>
            <w:tcBorders/>
            <w:shd w:fill="FFFFFF" w:val="clear"/>
            <w:vAlign w:val="center"/>
          </w:tcPr>
          <w:p>
            <w:pPr>
              <w:pStyle w:val="TableContents"/>
              <w:bidi w:val="0"/>
              <w:spacing w:before="0" w:after="283"/>
              <w:jc w:val="left"/>
              <w:rPr>
                <w:sz w:val="20"/>
              </w:rPr>
            </w:pPr>
            <w:r>
              <w:rPr>
                <w:sz w:val="20"/>
              </w:rPr>
              <w:t>Satisfaction and Discharge of Indenture</w:t>
            </w:r>
          </w:p>
        </w:tc>
        <w:tc>
          <w:tcPr>
            <w:tcW w:w="275" w:type="dxa"/>
            <w:tcBorders/>
            <w:shd w:fill="FFFFFF" w:val="clear"/>
            <w:vAlign w:val="center"/>
          </w:tcPr>
          <w:p>
            <w:pPr>
              <w:pStyle w:val="TableContents"/>
              <w:bidi w:val="0"/>
              <w:spacing w:before="0" w:after="283"/>
              <w:jc w:val="center"/>
              <w:rPr/>
            </w:pPr>
            <w:r>
              <w:rPr/>
              <w:t>32</w:t>
            </w:r>
          </w:p>
        </w:tc>
      </w:tr>
      <w:tr>
        <w:trPr/>
        <w:tc>
          <w:tcPr>
            <w:tcW w:w="1481" w:type="dxa"/>
            <w:tcBorders/>
            <w:shd w:fill="CCEEFF" w:val="clear"/>
            <w:vAlign w:val="center"/>
          </w:tcPr>
          <w:p>
            <w:pPr>
              <w:pStyle w:val="TableContents"/>
              <w:bidi w:val="0"/>
              <w:spacing w:before="0" w:after="283"/>
              <w:jc w:val="left"/>
              <w:rPr>
                <w:sz w:val="20"/>
              </w:rPr>
            </w:pPr>
            <w:r>
              <w:rPr>
                <w:sz w:val="20"/>
              </w:rPr>
              <w:t>Section 11.02</w:t>
            </w:r>
          </w:p>
        </w:tc>
        <w:tc>
          <w:tcPr>
            <w:tcW w:w="6788" w:type="dxa"/>
            <w:tcBorders/>
            <w:shd w:fill="CCEEFF" w:val="clear"/>
            <w:vAlign w:val="center"/>
          </w:tcPr>
          <w:p>
            <w:pPr>
              <w:pStyle w:val="TableContents"/>
              <w:bidi w:val="0"/>
              <w:spacing w:before="0" w:after="283"/>
              <w:jc w:val="left"/>
              <w:rPr>
                <w:sz w:val="20"/>
              </w:rPr>
            </w:pPr>
            <w:r>
              <w:rPr>
                <w:sz w:val="20"/>
              </w:rPr>
              <w:t>Discharge of Obligations</w:t>
            </w:r>
          </w:p>
        </w:tc>
        <w:tc>
          <w:tcPr>
            <w:tcW w:w="275" w:type="dxa"/>
            <w:tcBorders/>
            <w:shd w:fill="CCEEFF" w:val="clear"/>
            <w:vAlign w:val="center"/>
          </w:tcPr>
          <w:p>
            <w:pPr>
              <w:pStyle w:val="TableContents"/>
              <w:bidi w:val="0"/>
              <w:spacing w:before="0" w:after="283"/>
              <w:jc w:val="center"/>
              <w:rPr>
                <w:sz w:val="20"/>
              </w:rPr>
            </w:pPr>
            <w:r>
              <w:rPr>
                <w:sz w:val="20"/>
              </w:rPr>
              <w:t>32</w:t>
            </w:r>
          </w:p>
        </w:tc>
      </w:tr>
      <w:tr>
        <w:trPr/>
        <w:tc>
          <w:tcPr>
            <w:tcW w:w="1481" w:type="dxa"/>
            <w:tcBorders/>
            <w:shd w:fill="FFFFFF" w:val="clear"/>
            <w:vAlign w:val="center"/>
          </w:tcPr>
          <w:p>
            <w:pPr>
              <w:pStyle w:val="TableContents"/>
              <w:bidi w:val="0"/>
              <w:spacing w:before="0" w:after="283"/>
              <w:jc w:val="left"/>
              <w:rPr>
                <w:sz w:val="20"/>
              </w:rPr>
            </w:pPr>
            <w:r>
              <w:rPr>
                <w:sz w:val="20"/>
              </w:rPr>
              <w:t>Section 11.03</w:t>
            </w:r>
          </w:p>
        </w:tc>
        <w:tc>
          <w:tcPr>
            <w:tcW w:w="6788" w:type="dxa"/>
            <w:tcBorders/>
            <w:shd w:fill="FFFFFF" w:val="clear"/>
            <w:vAlign w:val="center"/>
          </w:tcPr>
          <w:p>
            <w:pPr>
              <w:pStyle w:val="TableContents"/>
              <w:bidi w:val="0"/>
              <w:spacing w:before="0" w:after="283"/>
              <w:jc w:val="left"/>
              <w:rPr>
                <w:sz w:val="20"/>
              </w:rPr>
            </w:pPr>
            <w:r>
              <w:rPr>
                <w:sz w:val="20"/>
              </w:rPr>
              <w:t>Deposited Moneys to be Held in Trust</w:t>
            </w:r>
          </w:p>
        </w:tc>
        <w:tc>
          <w:tcPr>
            <w:tcW w:w="275" w:type="dxa"/>
            <w:tcBorders/>
            <w:shd w:fill="FFFFFF" w:val="clear"/>
            <w:vAlign w:val="center"/>
          </w:tcPr>
          <w:p>
            <w:pPr>
              <w:pStyle w:val="TableContents"/>
              <w:bidi w:val="0"/>
              <w:spacing w:before="0" w:after="283"/>
              <w:jc w:val="center"/>
              <w:rPr>
                <w:sz w:val="20"/>
              </w:rPr>
            </w:pPr>
            <w:r>
              <w:rPr>
                <w:sz w:val="20"/>
              </w:rPr>
              <w:t>32</w:t>
            </w:r>
          </w:p>
        </w:tc>
      </w:tr>
      <w:tr>
        <w:trPr/>
        <w:tc>
          <w:tcPr>
            <w:tcW w:w="1481" w:type="dxa"/>
            <w:tcBorders/>
            <w:shd w:fill="CCEEFF" w:val="clear"/>
            <w:vAlign w:val="center"/>
          </w:tcPr>
          <w:p>
            <w:pPr>
              <w:pStyle w:val="TableContents"/>
              <w:bidi w:val="0"/>
              <w:spacing w:before="0" w:after="283"/>
              <w:jc w:val="left"/>
              <w:rPr>
                <w:sz w:val="20"/>
              </w:rPr>
            </w:pPr>
            <w:r>
              <w:rPr>
                <w:sz w:val="20"/>
              </w:rPr>
              <w:t>Section 11.04</w:t>
            </w:r>
          </w:p>
        </w:tc>
        <w:tc>
          <w:tcPr>
            <w:tcW w:w="6788" w:type="dxa"/>
            <w:tcBorders/>
            <w:shd w:fill="CCEEFF" w:val="clear"/>
            <w:vAlign w:val="center"/>
          </w:tcPr>
          <w:p>
            <w:pPr>
              <w:pStyle w:val="TableContents"/>
              <w:bidi w:val="0"/>
              <w:spacing w:before="0" w:after="283"/>
              <w:jc w:val="left"/>
              <w:rPr>
                <w:sz w:val="20"/>
              </w:rPr>
            </w:pPr>
            <w:r>
              <w:rPr>
                <w:sz w:val="20"/>
              </w:rPr>
              <w:t>Payment of Moneys Held by Paying Agents</w:t>
            </w:r>
          </w:p>
        </w:tc>
        <w:tc>
          <w:tcPr>
            <w:tcW w:w="275" w:type="dxa"/>
            <w:tcBorders/>
            <w:shd w:fill="CCEEFF" w:val="clear"/>
            <w:vAlign w:val="center"/>
          </w:tcPr>
          <w:p>
            <w:pPr>
              <w:pStyle w:val="TableContents"/>
              <w:bidi w:val="0"/>
              <w:spacing w:before="0" w:after="283"/>
              <w:jc w:val="center"/>
              <w:rPr/>
            </w:pPr>
            <w:r>
              <w:rPr/>
              <w:t>32</w:t>
            </w:r>
          </w:p>
        </w:tc>
      </w:tr>
      <w:tr>
        <w:trPr/>
        <w:tc>
          <w:tcPr>
            <w:tcW w:w="1481" w:type="dxa"/>
            <w:tcBorders/>
            <w:shd w:fill="FFFFFF" w:val="clear"/>
            <w:vAlign w:val="center"/>
          </w:tcPr>
          <w:p>
            <w:pPr>
              <w:pStyle w:val="TableContents"/>
              <w:bidi w:val="0"/>
              <w:spacing w:before="0" w:after="283"/>
              <w:jc w:val="left"/>
              <w:rPr>
                <w:sz w:val="20"/>
              </w:rPr>
            </w:pPr>
            <w:r>
              <w:rPr>
                <w:sz w:val="20"/>
              </w:rPr>
              <w:t>Section 11.05</w:t>
            </w:r>
          </w:p>
        </w:tc>
        <w:tc>
          <w:tcPr>
            <w:tcW w:w="6788" w:type="dxa"/>
            <w:tcBorders/>
            <w:shd w:fill="FFFFFF" w:val="clear"/>
            <w:vAlign w:val="center"/>
          </w:tcPr>
          <w:p>
            <w:pPr>
              <w:pStyle w:val="TableContents"/>
              <w:bidi w:val="0"/>
              <w:spacing w:before="0" w:after="283"/>
              <w:jc w:val="left"/>
              <w:rPr>
                <w:sz w:val="20"/>
              </w:rPr>
            </w:pPr>
            <w:r>
              <w:rPr>
                <w:sz w:val="20"/>
              </w:rPr>
              <w:t>Repayment to Company</w:t>
            </w:r>
          </w:p>
        </w:tc>
        <w:tc>
          <w:tcPr>
            <w:tcW w:w="275" w:type="dxa"/>
            <w:tcBorders/>
            <w:shd w:fill="FFFFFF" w:val="clear"/>
            <w:vAlign w:val="center"/>
          </w:tcPr>
          <w:p>
            <w:pPr>
              <w:pStyle w:val="TableContents"/>
              <w:bidi w:val="0"/>
              <w:spacing w:before="0" w:after="283"/>
              <w:jc w:val="center"/>
              <w:rPr>
                <w:sz w:val="20"/>
              </w:rPr>
            </w:pPr>
            <w:r>
              <w:rPr>
                <w:sz w:val="20"/>
              </w:rPr>
              <w:t>33</w:t>
            </w:r>
          </w:p>
        </w:tc>
      </w:tr>
      <w:tr>
        <w:trPr/>
        <w:tc>
          <w:tcPr>
            <w:tcW w:w="8269" w:type="dxa"/>
            <w:gridSpan w:val="2"/>
            <w:tcBorders/>
            <w:shd w:fill="CCEEFF" w:val="clear"/>
            <w:vAlign w:val="center"/>
          </w:tcPr>
          <w:p>
            <w:pPr>
              <w:pStyle w:val="TableContents"/>
              <w:bidi w:val="0"/>
              <w:spacing w:before="0" w:after="283"/>
              <w:jc w:val="left"/>
              <w:rPr>
                <w:caps/>
                <w:sz w:val="20"/>
              </w:rPr>
            </w:pPr>
            <w:r>
              <w:rPr>
                <w:caps/>
                <w:sz w:val="20"/>
              </w:rPr>
              <w:t>article 12 IMMUNITY OF INCORPORATORS, STOCKHOLDERS, OFFICERS AND DIRECTORS</w:t>
            </w:r>
          </w:p>
        </w:tc>
        <w:tc>
          <w:tcPr>
            <w:tcW w:w="275" w:type="dxa"/>
            <w:tcBorders/>
            <w:shd w:fill="CCEEFF" w:val="clear"/>
            <w:vAlign w:val="center"/>
          </w:tcPr>
          <w:p>
            <w:pPr>
              <w:pStyle w:val="TableContents"/>
              <w:bidi w:val="0"/>
              <w:spacing w:before="0" w:after="283"/>
              <w:jc w:val="center"/>
              <w:rPr>
                <w:caps/>
                <w:sz w:val="20"/>
              </w:rPr>
            </w:pPr>
            <w:r>
              <w:rPr>
                <w:caps/>
                <w:sz w:val="20"/>
              </w:rPr>
              <w:t>33</w:t>
            </w:r>
          </w:p>
        </w:tc>
      </w:tr>
      <w:tr>
        <w:trPr/>
        <w:tc>
          <w:tcPr>
            <w:tcW w:w="1481" w:type="dxa"/>
            <w:tcBorders/>
            <w:shd w:fill="FFFFFF" w:val="clear"/>
            <w:vAlign w:val="center"/>
          </w:tcPr>
          <w:p>
            <w:pPr>
              <w:pStyle w:val="TableContents"/>
              <w:bidi w:val="0"/>
              <w:spacing w:before="0" w:after="283"/>
              <w:jc w:val="left"/>
              <w:rPr>
                <w:sz w:val="20"/>
              </w:rPr>
            </w:pPr>
            <w:r>
              <w:rPr>
                <w:sz w:val="20"/>
              </w:rPr>
              <w:t>Section 12.01</w:t>
            </w:r>
          </w:p>
        </w:tc>
        <w:tc>
          <w:tcPr>
            <w:tcW w:w="6788" w:type="dxa"/>
            <w:tcBorders/>
            <w:shd w:fill="FFFFFF" w:val="clear"/>
            <w:vAlign w:val="center"/>
          </w:tcPr>
          <w:p>
            <w:pPr>
              <w:pStyle w:val="TableContents"/>
              <w:bidi w:val="0"/>
              <w:spacing w:before="0" w:after="283"/>
              <w:jc w:val="left"/>
              <w:rPr>
                <w:sz w:val="20"/>
              </w:rPr>
            </w:pPr>
            <w:r>
              <w:rPr>
                <w:sz w:val="20"/>
              </w:rPr>
              <w:t>No Recourse</w:t>
            </w:r>
          </w:p>
        </w:tc>
        <w:tc>
          <w:tcPr>
            <w:tcW w:w="275" w:type="dxa"/>
            <w:tcBorders/>
            <w:shd w:fill="FFFFFF" w:val="clear"/>
            <w:vAlign w:val="center"/>
          </w:tcPr>
          <w:p>
            <w:pPr>
              <w:pStyle w:val="TableContents"/>
              <w:bidi w:val="0"/>
              <w:spacing w:before="0" w:after="283"/>
              <w:jc w:val="center"/>
              <w:rPr>
                <w:sz w:val="20"/>
              </w:rPr>
            </w:pPr>
            <w:r>
              <w:rPr>
                <w:sz w:val="20"/>
              </w:rPr>
              <w:t>33</w:t>
            </w:r>
          </w:p>
        </w:tc>
      </w:tr>
      <w:tr>
        <w:trPr/>
        <w:tc>
          <w:tcPr>
            <w:tcW w:w="8269" w:type="dxa"/>
            <w:gridSpan w:val="2"/>
            <w:tcBorders/>
            <w:shd w:fill="CCEEFF" w:val="clear"/>
            <w:vAlign w:val="center"/>
          </w:tcPr>
          <w:p>
            <w:pPr>
              <w:pStyle w:val="TableContents"/>
              <w:bidi w:val="0"/>
              <w:spacing w:before="0" w:after="283"/>
              <w:jc w:val="left"/>
              <w:rPr>
                <w:caps/>
                <w:sz w:val="20"/>
              </w:rPr>
            </w:pPr>
            <w:r>
              <w:rPr>
                <w:caps/>
                <w:sz w:val="20"/>
              </w:rPr>
              <w:t>article 13 MISCELLANEOUS PROVISIONS</w:t>
            </w:r>
          </w:p>
        </w:tc>
        <w:tc>
          <w:tcPr>
            <w:tcW w:w="275" w:type="dxa"/>
            <w:tcBorders/>
            <w:shd w:fill="CCEEFF" w:val="clear"/>
            <w:vAlign w:val="center"/>
          </w:tcPr>
          <w:p>
            <w:pPr>
              <w:pStyle w:val="TableContents"/>
              <w:bidi w:val="0"/>
              <w:spacing w:before="0" w:after="283"/>
              <w:jc w:val="center"/>
              <w:rPr>
                <w:sz w:val="20"/>
              </w:rPr>
            </w:pPr>
            <w:r>
              <w:rPr>
                <w:sz w:val="20"/>
              </w:rPr>
              <w:t>33</w:t>
            </w:r>
          </w:p>
        </w:tc>
      </w:tr>
      <w:tr>
        <w:trPr/>
        <w:tc>
          <w:tcPr>
            <w:tcW w:w="1481" w:type="dxa"/>
            <w:tcBorders/>
            <w:shd w:fill="FFFFFF" w:val="clear"/>
            <w:vAlign w:val="center"/>
          </w:tcPr>
          <w:p>
            <w:pPr>
              <w:pStyle w:val="TableContents"/>
              <w:bidi w:val="0"/>
              <w:spacing w:before="0" w:after="283"/>
              <w:jc w:val="left"/>
              <w:rPr>
                <w:sz w:val="20"/>
              </w:rPr>
            </w:pPr>
            <w:r>
              <w:rPr>
                <w:sz w:val="20"/>
              </w:rPr>
              <w:t>Section 13.01</w:t>
            </w:r>
          </w:p>
        </w:tc>
        <w:tc>
          <w:tcPr>
            <w:tcW w:w="6788" w:type="dxa"/>
            <w:tcBorders/>
            <w:shd w:fill="FFFFFF" w:val="clear"/>
            <w:vAlign w:val="center"/>
          </w:tcPr>
          <w:p>
            <w:pPr>
              <w:pStyle w:val="TableContents"/>
              <w:bidi w:val="0"/>
              <w:spacing w:before="0" w:after="283"/>
              <w:jc w:val="left"/>
              <w:rPr>
                <w:sz w:val="20"/>
              </w:rPr>
            </w:pPr>
            <w:r>
              <w:rPr>
                <w:sz w:val="20"/>
              </w:rPr>
              <w:t>Effect on Successors and Assigns</w:t>
            </w:r>
          </w:p>
        </w:tc>
        <w:tc>
          <w:tcPr>
            <w:tcW w:w="275" w:type="dxa"/>
            <w:tcBorders/>
            <w:shd w:fill="FFFFFF" w:val="clear"/>
            <w:vAlign w:val="center"/>
          </w:tcPr>
          <w:p>
            <w:pPr>
              <w:pStyle w:val="TableContents"/>
              <w:bidi w:val="0"/>
              <w:spacing w:before="0" w:after="283"/>
              <w:jc w:val="center"/>
              <w:rPr>
                <w:sz w:val="20"/>
              </w:rPr>
            </w:pPr>
            <w:r>
              <w:rPr>
                <w:sz w:val="20"/>
              </w:rPr>
              <w:t>33</w:t>
            </w:r>
          </w:p>
        </w:tc>
      </w:tr>
      <w:tr>
        <w:trPr/>
        <w:tc>
          <w:tcPr>
            <w:tcW w:w="1481" w:type="dxa"/>
            <w:tcBorders/>
            <w:shd w:fill="CCEEFF" w:val="clear"/>
            <w:vAlign w:val="center"/>
          </w:tcPr>
          <w:p>
            <w:pPr>
              <w:pStyle w:val="TableContents"/>
              <w:bidi w:val="0"/>
              <w:spacing w:before="0" w:after="283"/>
              <w:jc w:val="left"/>
              <w:rPr>
                <w:sz w:val="20"/>
              </w:rPr>
            </w:pPr>
            <w:r>
              <w:rPr>
                <w:sz w:val="20"/>
              </w:rPr>
              <w:t>Section 13.02</w:t>
            </w:r>
          </w:p>
        </w:tc>
        <w:tc>
          <w:tcPr>
            <w:tcW w:w="6788" w:type="dxa"/>
            <w:tcBorders/>
            <w:shd w:fill="CCEEFF" w:val="clear"/>
            <w:vAlign w:val="center"/>
          </w:tcPr>
          <w:p>
            <w:pPr>
              <w:pStyle w:val="TableContents"/>
              <w:bidi w:val="0"/>
              <w:spacing w:before="0" w:after="283"/>
              <w:jc w:val="left"/>
              <w:rPr>
                <w:sz w:val="20"/>
              </w:rPr>
            </w:pPr>
            <w:r>
              <w:rPr>
                <w:sz w:val="20"/>
              </w:rPr>
              <w:t>Actions by Successor</w:t>
            </w:r>
          </w:p>
        </w:tc>
        <w:tc>
          <w:tcPr>
            <w:tcW w:w="275" w:type="dxa"/>
            <w:tcBorders/>
            <w:shd w:fill="CCEEFF" w:val="clear"/>
            <w:vAlign w:val="center"/>
          </w:tcPr>
          <w:p>
            <w:pPr>
              <w:pStyle w:val="TableContents"/>
              <w:bidi w:val="0"/>
              <w:spacing w:before="0" w:after="283"/>
              <w:jc w:val="center"/>
              <w:rPr>
                <w:sz w:val="20"/>
              </w:rPr>
            </w:pPr>
            <w:r>
              <w:rPr>
                <w:sz w:val="20"/>
              </w:rPr>
              <w:t>34</w:t>
            </w:r>
          </w:p>
        </w:tc>
      </w:tr>
      <w:tr>
        <w:trPr/>
        <w:tc>
          <w:tcPr>
            <w:tcW w:w="1481" w:type="dxa"/>
            <w:tcBorders/>
            <w:shd w:fill="FFFFFF" w:val="clear"/>
            <w:vAlign w:val="center"/>
          </w:tcPr>
          <w:p>
            <w:pPr>
              <w:pStyle w:val="TableContents"/>
              <w:bidi w:val="0"/>
              <w:spacing w:before="0" w:after="283"/>
              <w:jc w:val="left"/>
              <w:rPr>
                <w:sz w:val="20"/>
              </w:rPr>
            </w:pPr>
            <w:r>
              <w:rPr>
                <w:sz w:val="20"/>
              </w:rPr>
              <w:t>Section 13.03</w:t>
            </w:r>
          </w:p>
        </w:tc>
        <w:tc>
          <w:tcPr>
            <w:tcW w:w="6788" w:type="dxa"/>
            <w:tcBorders/>
            <w:shd w:fill="FFFFFF" w:val="clear"/>
            <w:vAlign w:val="center"/>
          </w:tcPr>
          <w:p>
            <w:pPr>
              <w:pStyle w:val="TableContents"/>
              <w:bidi w:val="0"/>
              <w:spacing w:before="0" w:after="283"/>
              <w:jc w:val="left"/>
              <w:rPr>
                <w:sz w:val="20"/>
              </w:rPr>
            </w:pPr>
            <w:r>
              <w:rPr>
                <w:sz w:val="20"/>
              </w:rPr>
              <w:t>Surrender of Company Powers</w:t>
            </w:r>
          </w:p>
        </w:tc>
        <w:tc>
          <w:tcPr>
            <w:tcW w:w="275" w:type="dxa"/>
            <w:tcBorders/>
            <w:shd w:fill="FFFFFF" w:val="clear"/>
            <w:vAlign w:val="center"/>
          </w:tcPr>
          <w:p>
            <w:pPr>
              <w:pStyle w:val="TableContents"/>
              <w:bidi w:val="0"/>
              <w:spacing w:before="0" w:after="283"/>
              <w:jc w:val="center"/>
              <w:rPr>
                <w:sz w:val="20"/>
              </w:rPr>
            </w:pPr>
            <w:r>
              <w:rPr>
                <w:sz w:val="20"/>
              </w:rPr>
              <w:t>34</w:t>
            </w:r>
          </w:p>
        </w:tc>
      </w:tr>
      <w:tr>
        <w:trPr/>
        <w:tc>
          <w:tcPr>
            <w:tcW w:w="1481" w:type="dxa"/>
            <w:tcBorders/>
            <w:shd w:fill="CCEEFF" w:val="clear"/>
            <w:vAlign w:val="center"/>
          </w:tcPr>
          <w:p>
            <w:pPr>
              <w:pStyle w:val="TableContents"/>
              <w:bidi w:val="0"/>
              <w:spacing w:before="0" w:after="283"/>
              <w:jc w:val="left"/>
              <w:rPr>
                <w:sz w:val="20"/>
              </w:rPr>
            </w:pPr>
            <w:r>
              <w:rPr>
                <w:sz w:val="20"/>
              </w:rPr>
              <w:t>Section 13.04</w:t>
            </w:r>
          </w:p>
        </w:tc>
        <w:tc>
          <w:tcPr>
            <w:tcW w:w="6788" w:type="dxa"/>
            <w:tcBorders/>
            <w:shd w:fill="CCEEFF" w:val="clear"/>
            <w:vAlign w:val="center"/>
          </w:tcPr>
          <w:p>
            <w:pPr>
              <w:pStyle w:val="TableContents"/>
              <w:bidi w:val="0"/>
              <w:spacing w:before="0" w:after="283"/>
              <w:jc w:val="left"/>
              <w:rPr>
                <w:sz w:val="20"/>
              </w:rPr>
            </w:pPr>
            <w:r>
              <w:rPr>
                <w:sz w:val="20"/>
              </w:rPr>
              <w:t>Notices</w:t>
            </w:r>
          </w:p>
        </w:tc>
        <w:tc>
          <w:tcPr>
            <w:tcW w:w="275" w:type="dxa"/>
            <w:tcBorders/>
            <w:shd w:fill="CCEEFF" w:val="clear"/>
            <w:vAlign w:val="center"/>
          </w:tcPr>
          <w:p>
            <w:pPr>
              <w:pStyle w:val="TableContents"/>
              <w:bidi w:val="0"/>
              <w:spacing w:before="0" w:after="283"/>
              <w:jc w:val="center"/>
              <w:rPr>
                <w:sz w:val="20"/>
              </w:rPr>
            </w:pPr>
            <w:r>
              <w:rPr>
                <w:sz w:val="20"/>
              </w:rPr>
              <w:t>34</w:t>
            </w:r>
          </w:p>
        </w:tc>
      </w:tr>
      <w:tr>
        <w:trPr/>
        <w:tc>
          <w:tcPr>
            <w:tcW w:w="1481" w:type="dxa"/>
            <w:tcBorders/>
            <w:shd w:fill="FFFFFF" w:val="clear"/>
            <w:vAlign w:val="center"/>
          </w:tcPr>
          <w:p>
            <w:pPr>
              <w:pStyle w:val="TableContents"/>
              <w:bidi w:val="0"/>
              <w:spacing w:before="0" w:after="283"/>
              <w:jc w:val="left"/>
              <w:rPr>
                <w:sz w:val="20"/>
              </w:rPr>
            </w:pPr>
            <w:r>
              <w:rPr>
                <w:sz w:val="20"/>
              </w:rPr>
              <w:t>Section 13.05</w:t>
            </w:r>
          </w:p>
        </w:tc>
        <w:tc>
          <w:tcPr>
            <w:tcW w:w="6788" w:type="dxa"/>
            <w:tcBorders/>
            <w:shd w:fill="FFFFFF" w:val="clear"/>
            <w:vAlign w:val="center"/>
          </w:tcPr>
          <w:p>
            <w:pPr>
              <w:pStyle w:val="TableContents"/>
              <w:bidi w:val="0"/>
              <w:spacing w:before="0" w:after="283"/>
              <w:jc w:val="left"/>
              <w:rPr>
                <w:sz w:val="20"/>
              </w:rPr>
            </w:pPr>
            <w:r>
              <w:rPr>
                <w:sz w:val="20"/>
              </w:rPr>
              <w:t>Governing Law; Jury Trial Waiver</w:t>
            </w:r>
          </w:p>
        </w:tc>
        <w:tc>
          <w:tcPr>
            <w:tcW w:w="275" w:type="dxa"/>
            <w:tcBorders/>
            <w:shd w:fill="FFFFFF" w:val="clear"/>
            <w:vAlign w:val="center"/>
          </w:tcPr>
          <w:p>
            <w:pPr>
              <w:pStyle w:val="TableContents"/>
              <w:bidi w:val="0"/>
              <w:spacing w:before="0" w:after="283"/>
              <w:jc w:val="center"/>
              <w:rPr>
                <w:sz w:val="20"/>
              </w:rPr>
            </w:pPr>
            <w:r>
              <w:rPr>
                <w:sz w:val="20"/>
              </w:rPr>
              <w:t>34</w:t>
            </w:r>
          </w:p>
        </w:tc>
      </w:tr>
      <w:tr>
        <w:trPr/>
        <w:tc>
          <w:tcPr>
            <w:tcW w:w="1481" w:type="dxa"/>
            <w:tcBorders/>
            <w:shd w:fill="CCEEFF" w:val="clear"/>
            <w:vAlign w:val="center"/>
          </w:tcPr>
          <w:p>
            <w:pPr>
              <w:pStyle w:val="TableContents"/>
              <w:bidi w:val="0"/>
              <w:spacing w:before="0" w:after="283"/>
              <w:jc w:val="left"/>
              <w:rPr>
                <w:sz w:val="20"/>
              </w:rPr>
            </w:pPr>
            <w:r>
              <w:rPr>
                <w:sz w:val="20"/>
              </w:rPr>
              <w:t>Section 13.06</w:t>
            </w:r>
          </w:p>
        </w:tc>
        <w:tc>
          <w:tcPr>
            <w:tcW w:w="6788" w:type="dxa"/>
            <w:tcBorders/>
            <w:shd w:fill="CCEEFF" w:val="clear"/>
            <w:vAlign w:val="center"/>
          </w:tcPr>
          <w:p>
            <w:pPr>
              <w:pStyle w:val="TableContents"/>
              <w:bidi w:val="0"/>
              <w:spacing w:before="0" w:after="283"/>
              <w:jc w:val="left"/>
              <w:rPr>
                <w:sz w:val="20"/>
              </w:rPr>
            </w:pPr>
            <w:r>
              <w:rPr>
                <w:sz w:val="20"/>
              </w:rPr>
              <w:t>Treatment of Securities as Debt</w:t>
            </w:r>
          </w:p>
        </w:tc>
        <w:tc>
          <w:tcPr>
            <w:tcW w:w="275" w:type="dxa"/>
            <w:tcBorders/>
            <w:shd w:fill="CCEEFF" w:val="clear"/>
            <w:vAlign w:val="center"/>
          </w:tcPr>
          <w:p>
            <w:pPr>
              <w:pStyle w:val="TableContents"/>
              <w:bidi w:val="0"/>
              <w:spacing w:before="0" w:after="283"/>
              <w:jc w:val="center"/>
              <w:rPr>
                <w:sz w:val="20"/>
              </w:rPr>
            </w:pPr>
            <w:r>
              <w:rPr>
                <w:sz w:val="20"/>
              </w:rPr>
              <w:t>34</w:t>
            </w:r>
          </w:p>
        </w:tc>
      </w:tr>
      <w:tr>
        <w:trPr/>
        <w:tc>
          <w:tcPr>
            <w:tcW w:w="1481" w:type="dxa"/>
            <w:tcBorders/>
            <w:shd w:fill="FFFFFF" w:val="clear"/>
            <w:vAlign w:val="center"/>
          </w:tcPr>
          <w:p>
            <w:pPr>
              <w:pStyle w:val="TableContents"/>
              <w:bidi w:val="0"/>
              <w:spacing w:before="0" w:after="283"/>
              <w:jc w:val="left"/>
              <w:rPr>
                <w:sz w:val="20"/>
              </w:rPr>
            </w:pPr>
            <w:r>
              <w:rPr>
                <w:sz w:val="20"/>
              </w:rPr>
              <w:t>Section 13.07</w:t>
            </w:r>
          </w:p>
        </w:tc>
        <w:tc>
          <w:tcPr>
            <w:tcW w:w="6788" w:type="dxa"/>
            <w:tcBorders/>
            <w:shd w:fill="FFFFFF" w:val="clear"/>
            <w:vAlign w:val="center"/>
          </w:tcPr>
          <w:p>
            <w:pPr>
              <w:pStyle w:val="TableContents"/>
              <w:bidi w:val="0"/>
              <w:spacing w:before="0" w:after="283"/>
              <w:jc w:val="left"/>
              <w:rPr>
                <w:sz w:val="20"/>
              </w:rPr>
            </w:pPr>
            <w:r>
              <w:rPr>
                <w:sz w:val="20"/>
              </w:rPr>
              <w:t>Certificates and Opinions as to Conditions Precedent</w:t>
            </w:r>
          </w:p>
        </w:tc>
        <w:tc>
          <w:tcPr>
            <w:tcW w:w="275" w:type="dxa"/>
            <w:tcBorders/>
            <w:shd w:fill="FFFFFF" w:val="clear"/>
            <w:vAlign w:val="center"/>
          </w:tcPr>
          <w:p>
            <w:pPr>
              <w:pStyle w:val="TableContents"/>
              <w:bidi w:val="0"/>
              <w:spacing w:before="0" w:after="283"/>
              <w:jc w:val="center"/>
              <w:rPr>
                <w:sz w:val="20"/>
              </w:rPr>
            </w:pPr>
            <w:r>
              <w:rPr>
                <w:sz w:val="20"/>
              </w:rPr>
              <w:t>34</w:t>
            </w:r>
          </w:p>
        </w:tc>
      </w:tr>
      <w:tr>
        <w:trPr/>
        <w:tc>
          <w:tcPr>
            <w:tcW w:w="1481" w:type="dxa"/>
            <w:tcBorders/>
            <w:shd w:fill="CCEEFF" w:val="clear"/>
            <w:vAlign w:val="center"/>
          </w:tcPr>
          <w:p>
            <w:pPr>
              <w:pStyle w:val="TableContents"/>
              <w:bidi w:val="0"/>
              <w:spacing w:before="0" w:after="283"/>
              <w:jc w:val="left"/>
              <w:rPr>
                <w:sz w:val="20"/>
              </w:rPr>
            </w:pPr>
            <w:r>
              <w:rPr>
                <w:sz w:val="20"/>
              </w:rPr>
              <w:t>Section 13.08</w:t>
            </w:r>
          </w:p>
        </w:tc>
        <w:tc>
          <w:tcPr>
            <w:tcW w:w="6788" w:type="dxa"/>
            <w:tcBorders/>
            <w:shd w:fill="CCEEFF" w:val="clear"/>
            <w:vAlign w:val="center"/>
          </w:tcPr>
          <w:p>
            <w:pPr>
              <w:pStyle w:val="TableContents"/>
              <w:bidi w:val="0"/>
              <w:spacing w:before="0" w:after="283"/>
              <w:jc w:val="left"/>
              <w:rPr>
                <w:sz w:val="20"/>
              </w:rPr>
            </w:pPr>
            <w:r>
              <w:rPr>
                <w:sz w:val="20"/>
              </w:rPr>
              <w:t>Payments on Business Days</w:t>
            </w:r>
          </w:p>
        </w:tc>
        <w:tc>
          <w:tcPr>
            <w:tcW w:w="275" w:type="dxa"/>
            <w:tcBorders/>
            <w:shd w:fill="CCEEFF" w:val="clear"/>
            <w:vAlign w:val="center"/>
          </w:tcPr>
          <w:p>
            <w:pPr>
              <w:pStyle w:val="TableContents"/>
              <w:bidi w:val="0"/>
              <w:spacing w:before="0" w:after="283"/>
              <w:jc w:val="center"/>
              <w:rPr>
                <w:sz w:val="20"/>
              </w:rPr>
            </w:pPr>
            <w:r>
              <w:rPr>
                <w:sz w:val="20"/>
              </w:rPr>
              <w:t>35</w:t>
            </w:r>
          </w:p>
        </w:tc>
      </w:tr>
      <w:tr>
        <w:trPr/>
        <w:tc>
          <w:tcPr>
            <w:tcW w:w="1481" w:type="dxa"/>
            <w:tcBorders/>
            <w:shd w:fill="FFFFFF" w:val="clear"/>
            <w:vAlign w:val="center"/>
          </w:tcPr>
          <w:p>
            <w:pPr>
              <w:pStyle w:val="TableContents"/>
              <w:bidi w:val="0"/>
              <w:spacing w:before="0" w:after="283"/>
              <w:jc w:val="left"/>
              <w:rPr>
                <w:sz w:val="20"/>
              </w:rPr>
            </w:pPr>
            <w:r>
              <w:rPr>
                <w:sz w:val="20"/>
              </w:rPr>
              <w:t>Section 13.09</w:t>
            </w:r>
          </w:p>
        </w:tc>
        <w:tc>
          <w:tcPr>
            <w:tcW w:w="6788" w:type="dxa"/>
            <w:tcBorders/>
            <w:shd w:fill="FFFFFF" w:val="clear"/>
            <w:vAlign w:val="center"/>
          </w:tcPr>
          <w:p>
            <w:pPr>
              <w:pStyle w:val="TableContents"/>
              <w:bidi w:val="0"/>
              <w:spacing w:before="0" w:after="283"/>
              <w:jc w:val="left"/>
              <w:rPr>
                <w:sz w:val="20"/>
              </w:rPr>
            </w:pPr>
            <w:r>
              <w:rPr>
                <w:sz w:val="20"/>
              </w:rPr>
              <w:t>Conflict with Trust Indenture Act</w:t>
            </w:r>
          </w:p>
        </w:tc>
        <w:tc>
          <w:tcPr>
            <w:tcW w:w="275" w:type="dxa"/>
            <w:tcBorders/>
            <w:shd w:fill="FFFFFF" w:val="clear"/>
            <w:vAlign w:val="center"/>
          </w:tcPr>
          <w:p>
            <w:pPr>
              <w:pStyle w:val="TableContents"/>
              <w:bidi w:val="0"/>
              <w:spacing w:before="0" w:after="283"/>
              <w:jc w:val="center"/>
              <w:rPr>
                <w:sz w:val="20"/>
              </w:rPr>
            </w:pPr>
            <w:r>
              <w:rPr>
                <w:sz w:val="20"/>
              </w:rPr>
              <w:t>35</w:t>
            </w:r>
          </w:p>
        </w:tc>
      </w:tr>
      <w:tr>
        <w:trPr/>
        <w:tc>
          <w:tcPr>
            <w:tcW w:w="1481" w:type="dxa"/>
            <w:tcBorders/>
            <w:shd w:fill="CCEEFF" w:val="clear"/>
            <w:vAlign w:val="center"/>
          </w:tcPr>
          <w:p>
            <w:pPr>
              <w:pStyle w:val="TableContents"/>
              <w:bidi w:val="0"/>
              <w:spacing w:before="0" w:after="283"/>
              <w:jc w:val="left"/>
              <w:rPr>
                <w:sz w:val="20"/>
              </w:rPr>
            </w:pPr>
            <w:r>
              <w:rPr>
                <w:sz w:val="20"/>
              </w:rPr>
              <w:t>Section 13.10</w:t>
            </w:r>
          </w:p>
        </w:tc>
        <w:tc>
          <w:tcPr>
            <w:tcW w:w="6788" w:type="dxa"/>
            <w:tcBorders/>
            <w:shd w:fill="CCEEFF" w:val="clear"/>
            <w:vAlign w:val="center"/>
          </w:tcPr>
          <w:p>
            <w:pPr>
              <w:pStyle w:val="TableContents"/>
              <w:bidi w:val="0"/>
              <w:spacing w:before="0" w:after="283"/>
              <w:jc w:val="left"/>
              <w:rPr>
                <w:sz w:val="20"/>
              </w:rPr>
            </w:pPr>
            <w:r>
              <w:rPr>
                <w:sz w:val="20"/>
              </w:rPr>
              <w:t>Counterparts</w:t>
            </w:r>
          </w:p>
        </w:tc>
        <w:tc>
          <w:tcPr>
            <w:tcW w:w="275" w:type="dxa"/>
            <w:tcBorders/>
            <w:shd w:fill="CCEEFF" w:val="clear"/>
            <w:vAlign w:val="center"/>
          </w:tcPr>
          <w:p>
            <w:pPr>
              <w:pStyle w:val="TableContents"/>
              <w:bidi w:val="0"/>
              <w:spacing w:before="0" w:after="283"/>
              <w:jc w:val="center"/>
              <w:rPr>
                <w:sz w:val="20"/>
              </w:rPr>
            </w:pPr>
            <w:r>
              <w:rPr>
                <w:sz w:val="20"/>
              </w:rPr>
              <w:t>35</w:t>
            </w:r>
          </w:p>
        </w:tc>
      </w:tr>
      <w:tr>
        <w:trPr/>
        <w:tc>
          <w:tcPr>
            <w:tcW w:w="1481" w:type="dxa"/>
            <w:tcBorders/>
            <w:shd w:fill="FFFFFF" w:val="clear"/>
            <w:vAlign w:val="center"/>
          </w:tcPr>
          <w:p>
            <w:pPr>
              <w:pStyle w:val="TableContents"/>
              <w:bidi w:val="0"/>
              <w:spacing w:before="0" w:after="283"/>
              <w:jc w:val="left"/>
              <w:rPr>
                <w:sz w:val="20"/>
              </w:rPr>
            </w:pPr>
            <w:r>
              <w:rPr>
                <w:sz w:val="20"/>
              </w:rPr>
              <w:t>Section 13.11</w:t>
            </w:r>
          </w:p>
        </w:tc>
        <w:tc>
          <w:tcPr>
            <w:tcW w:w="6788" w:type="dxa"/>
            <w:tcBorders/>
            <w:shd w:fill="FFFFFF" w:val="clear"/>
            <w:vAlign w:val="center"/>
          </w:tcPr>
          <w:p>
            <w:pPr>
              <w:pStyle w:val="TableContents"/>
              <w:bidi w:val="0"/>
              <w:spacing w:before="0" w:after="283"/>
              <w:jc w:val="left"/>
              <w:rPr>
                <w:sz w:val="20"/>
              </w:rPr>
            </w:pPr>
            <w:r>
              <w:rPr>
                <w:sz w:val="20"/>
              </w:rPr>
              <w:t>Separability</w:t>
            </w:r>
          </w:p>
        </w:tc>
        <w:tc>
          <w:tcPr>
            <w:tcW w:w="275" w:type="dxa"/>
            <w:tcBorders/>
            <w:shd w:fill="FFFFFF" w:val="clear"/>
            <w:vAlign w:val="center"/>
          </w:tcPr>
          <w:p>
            <w:pPr>
              <w:pStyle w:val="TableContents"/>
              <w:bidi w:val="0"/>
              <w:spacing w:before="0" w:after="283"/>
              <w:jc w:val="center"/>
              <w:rPr>
                <w:sz w:val="20"/>
              </w:rPr>
            </w:pPr>
            <w:r>
              <w:rPr>
                <w:sz w:val="20"/>
              </w:rPr>
              <w:t>35</w:t>
            </w:r>
          </w:p>
        </w:tc>
      </w:tr>
      <w:tr>
        <w:trPr/>
        <w:tc>
          <w:tcPr>
            <w:tcW w:w="1481" w:type="dxa"/>
            <w:tcBorders/>
            <w:shd w:fill="CCEEFF" w:val="clear"/>
            <w:vAlign w:val="center"/>
          </w:tcPr>
          <w:p>
            <w:pPr>
              <w:pStyle w:val="TableContents"/>
              <w:bidi w:val="0"/>
              <w:spacing w:before="0" w:after="283"/>
              <w:jc w:val="left"/>
              <w:rPr>
                <w:sz w:val="20"/>
              </w:rPr>
            </w:pPr>
            <w:r>
              <w:rPr>
                <w:sz w:val="20"/>
              </w:rPr>
              <w:t>Section 13.12</w:t>
            </w:r>
          </w:p>
        </w:tc>
        <w:tc>
          <w:tcPr>
            <w:tcW w:w="6788" w:type="dxa"/>
            <w:tcBorders/>
            <w:shd w:fill="CCEEFF" w:val="clear"/>
            <w:vAlign w:val="center"/>
          </w:tcPr>
          <w:p>
            <w:pPr>
              <w:pStyle w:val="TableContents"/>
              <w:bidi w:val="0"/>
              <w:spacing w:before="0" w:after="283"/>
              <w:jc w:val="left"/>
              <w:rPr>
                <w:sz w:val="20"/>
              </w:rPr>
            </w:pPr>
            <w:r>
              <w:rPr>
                <w:sz w:val="20"/>
              </w:rPr>
              <w:t>Compliance Certificates</w:t>
            </w:r>
          </w:p>
        </w:tc>
        <w:tc>
          <w:tcPr>
            <w:tcW w:w="275" w:type="dxa"/>
            <w:tcBorders/>
            <w:shd w:fill="CCEEFF" w:val="clear"/>
            <w:vAlign w:val="center"/>
          </w:tcPr>
          <w:p>
            <w:pPr>
              <w:pStyle w:val="TableContents"/>
              <w:bidi w:val="0"/>
              <w:spacing w:before="0" w:after="283"/>
              <w:jc w:val="center"/>
              <w:rPr>
                <w:sz w:val="20"/>
              </w:rPr>
            </w:pPr>
            <w:r>
              <w:rPr>
                <w:sz w:val="20"/>
              </w:rPr>
              <w:t>36</w:t>
            </w:r>
          </w:p>
        </w:tc>
      </w:tr>
      <w:tr>
        <w:trPr/>
        <w:tc>
          <w:tcPr>
            <w:tcW w:w="1481" w:type="dxa"/>
            <w:tcBorders/>
            <w:shd w:fill="FFFFFF" w:val="clear"/>
            <w:vAlign w:val="center"/>
          </w:tcPr>
          <w:p>
            <w:pPr>
              <w:pStyle w:val="TableContents"/>
              <w:bidi w:val="0"/>
              <w:spacing w:before="0" w:after="283"/>
              <w:jc w:val="left"/>
              <w:rPr>
                <w:sz w:val="20"/>
              </w:rPr>
            </w:pPr>
            <w:r>
              <w:rPr>
                <w:sz w:val="20"/>
              </w:rPr>
              <w:t>Section 13.13</w:t>
            </w:r>
          </w:p>
        </w:tc>
        <w:tc>
          <w:tcPr>
            <w:tcW w:w="6788" w:type="dxa"/>
            <w:tcBorders/>
            <w:shd w:fill="FFFFFF" w:val="clear"/>
            <w:vAlign w:val="center"/>
          </w:tcPr>
          <w:p>
            <w:pPr>
              <w:pStyle w:val="TableContents"/>
              <w:bidi w:val="0"/>
              <w:spacing w:before="0" w:after="283"/>
              <w:jc w:val="left"/>
              <w:rPr>
                <w:sz w:val="20"/>
              </w:rPr>
            </w:pPr>
            <w:r>
              <w:rPr>
                <w:sz w:val="20"/>
              </w:rPr>
              <w:t>Patriot Act</w:t>
            </w:r>
          </w:p>
        </w:tc>
        <w:tc>
          <w:tcPr>
            <w:tcW w:w="275" w:type="dxa"/>
            <w:tcBorders/>
            <w:shd w:fill="FFFFFF" w:val="clear"/>
            <w:vAlign w:val="center"/>
          </w:tcPr>
          <w:p>
            <w:pPr>
              <w:pStyle w:val="TableContents"/>
              <w:bidi w:val="0"/>
              <w:spacing w:before="0" w:after="283"/>
              <w:jc w:val="center"/>
              <w:rPr>
                <w:sz w:val="20"/>
              </w:rPr>
            </w:pPr>
            <w:r>
              <w:rPr>
                <w:sz w:val="20"/>
              </w:rPr>
              <w:t>36</w:t>
            </w:r>
          </w:p>
        </w:tc>
      </w:tr>
      <w:tr>
        <w:trPr/>
        <w:tc>
          <w:tcPr>
            <w:tcW w:w="1481" w:type="dxa"/>
            <w:tcBorders/>
            <w:shd w:fill="CCEEFF" w:val="clear"/>
            <w:vAlign w:val="center"/>
          </w:tcPr>
          <w:p>
            <w:pPr>
              <w:pStyle w:val="TableContents"/>
              <w:bidi w:val="0"/>
              <w:spacing w:before="0" w:after="283"/>
              <w:jc w:val="left"/>
              <w:rPr>
                <w:sz w:val="20"/>
              </w:rPr>
            </w:pPr>
            <w:r>
              <w:rPr>
                <w:sz w:val="20"/>
              </w:rPr>
              <w:t>Section 13.14</w:t>
            </w:r>
          </w:p>
        </w:tc>
        <w:tc>
          <w:tcPr>
            <w:tcW w:w="6788" w:type="dxa"/>
            <w:tcBorders/>
            <w:shd w:fill="CCEEFF" w:val="clear"/>
            <w:vAlign w:val="center"/>
          </w:tcPr>
          <w:p>
            <w:pPr>
              <w:pStyle w:val="TableContents"/>
              <w:bidi w:val="0"/>
              <w:spacing w:before="0" w:after="283"/>
              <w:jc w:val="left"/>
              <w:rPr>
                <w:sz w:val="20"/>
              </w:rPr>
            </w:pPr>
            <w:r>
              <w:rPr>
                <w:sz w:val="20"/>
              </w:rPr>
              <w:t>Force Majeure</w:t>
            </w:r>
          </w:p>
        </w:tc>
        <w:tc>
          <w:tcPr>
            <w:tcW w:w="275" w:type="dxa"/>
            <w:tcBorders/>
            <w:shd w:fill="CCEEFF" w:val="clear"/>
            <w:vAlign w:val="center"/>
          </w:tcPr>
          <w:p>
            <w:pPr>
              <w:pStyle w:val="TableContents"/>
              <w:bidi w:val="0"/>
              <w:spacing w:before="0" w:after="283"/>
              <w:jc w:val="center"/>
              <w:rPr>
                <w:sz w:val="20"/>
              </w:rPr>
            </w:pPr>
            <w:r>
              <w:rPr>
                <w:sz w:val="20"/>
              </w:rPr>
              <w:t>36</w:t>
            </w:r>
          </w:p>
        </w:tc>
      </w:tr>
      <w:tr>
        <w:trPr/>
        <w:tc>
          <w:tcPr>
            <w:tcW w:w="1481" w:type="dxa"/>
            <w:tcBorders/>
            <w:shd w:fill="FFFFFF" w:val="clear"/>
            <w:vAlign w:val="center"/>
          </w:tcPr>
          <w:p>
            <w:pPr>
              <w:pStyle w:val="TableContents"/>
              <w:bidi w:val="0"/>
              <w:spacing w:before="0" w:after="283"/>
              <w:jc w:val="left"/>
              <w:rPr>
                <w:sz w:val="20"/>
              </w:rPr>
            </w:pPr>
            <w:r>
              <w:rPr>
                <w:sz w:val="20"/>
              </w:rPr>
              <w:t>Section 13.15</w:t>
            </w:r>
          </w:p>
        </w:tc>
        <w:tc>
          <w:tcPr>
            <w:tcW w:w="6788" w:type="dxa"/>
            <w:tcBorders/>
            <w:shd w:fill="FFFFFF" w:val="clear"/>
            <w:vAlign w:val="center"/>
          </w:tcPr>
          <w:p>
            <w:pPr>
              <w:pStyle w:val="TableContents"/>
              <w:bidi w:val="0"/>
              <w:spacing w:before="0" w:after="283"/>
              <w:jc w:val="left"/>
              <w:rPr>
                <w:sz w:val="20"/>
              </w:rPr>
            </w:pPr>
            <w:r>
              <w:rPr>
                <w:sz w:val="20"/>
              </w:rPr>
              <w:t>Table of Contents; Headings</w:t>
            </w:r>
          </w:p>
        </w:tc>
        <w:tc>
          <w:tcPr>
            <w:tcW w:w="275" w:type="dxa"/>
            <w:tcBorders/>
            <w:shd w:fill="FFFFFF" w:val="clear"/>
            <w:vAlign w:val="center"/>
          </w:tcPr>
          <w:p>
            <w:pPr>
              <w:pStyle w:val="TableContents"/>
              <w:bidi w:val="0"/>
              <w:spacing w:before="0" w:after="283"/>
              <w:jc w:val="center"/>
              <w:rPr>
                <w:sz w:val="20"/>
              </w:rPr>
            </w:pPr>
            <w:r>
              <w:rPr>
                <w:sz w:val="20"/>
              </w:rPr>
              <w:t>36</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Indenture</w:t>
      </w:r>
      <w:r>
        <w:rPr>
          <w:rFonts w:ascii="Times New Roman;Times;Serif" w:hAnsi="Times New Roman;Times;Serif"/>
          <w:b w:val="false"/>
          <w:i w:val="false"/>
          <w:caps w:val="false"/>
          <w:smallCaps w:val="false"/>
          <w:sz w:val="20"/>
        </w:rPr>
        <w:t>, dated as of [●], 20__, among Adlai Nortye Group Ltd., a public company limited by shares incorporated under the laws of Singapore (the “Company”), and [</w:t>
      </w:r>
      <w:r>
        <w:rPr>
          <w:rFonts w:ascii="Times New Roman;Times;Serif" w:hAnsi="Times New Roman;Times;Serif"/>
          <w:b/>
          <w:i w:val="false"/>
          <w:smallCaps/>
          <w:sz w:val="20"/>
        </w:rPr>
        <w:t>Trustee</w:t>
      </w:r>
      <w:r>
        <w:rPr>
          <w:rFonts w:ascii="Times New Roman;Times;Serif" w:hAnsi="Times New Roman;Times;Serif"/>
          <w:b w:val="false"/>
          <w:i w:val="false"/>
          <w:caps w:val="false"/>
          <w:smallCaps w:val="false"/>
          <w:sz w:val="20"/>
        </w:rPr>
        <w:t>], as trustee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Definitions of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the Trustee or an authenticating agent with respect to all or any of the series of Securities appointed by the Trustee pursuant to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Singapore,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Adlai Nortye Group Ltd., a public company limited by shares under the laws of Singapore, and shall also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has the meaning set forth in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United States Securities and Exchange Act of 1934,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sent</w:t>
      </w:r>
      <w:r>
        <w:rPr>
          <w:rFonts w:ascii="Times New Roman;Times;Serif" w:hAnsi="Times New Roman;Times;Serif"/>
          <w:b w:val="false"/>
          <w:i w:val="false"/>
          <w:caps w:val="false"/>
          <w:smallCaps w:val="false"/>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 chief strategy officer, a chief technology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Each such certificate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xml:space="preserve">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ISSUE, DESCRIPTION, TERMS, EXECUTION, REGISTRATION AND 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maturity date or dates on which the principal of the Securities of the series is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the applicability of any guarantees;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rPr>
        <w:t>whether or not the Securities will be secured or unsecured, and the terms of any secured debt;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rPr>
        <w:t>whether the Securities rank as senior debt, senior subordinated debt, subordinated debt or any combination thereof, and the terms of any subordination;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rPr>
        <w:t>the Company’s right, if any, to defer the payment of interest and the maximum length of any such deferral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the denominations in which the Securities of the series shall be issuable, if other than denominations of one thousand U.S. dollars ($1,000) or any integral multiple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additions to or changes in the covenants applicable to the series of Securities being issued, including, among others, the consolidation, merger or sale covenant;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additions to or changes in the provisions relating to satisfaction and discharge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val="false"/>
          <w:i w:val="false"/>
          <w:caps w:val="false"/>
          <w:smallCaps w:val="false"/>
          <w:sz w:val="20"/>
        </w:rPr>
        <w:t>additions to or changes in the provisions relating to the modification of this Indenture both with and without the consent of Securityholders of Securities issued under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val="false"/>
          <w:i w:val="false"/>
          <w:caps w:val="false"/>
          <w:smallCaps w:val="false"/>
          <w:sz w:val="20"/>
        </w:rPr>
        <w:t>the currency of payment of Securities if other than U.S. dollars and the manner of determining the equivalent amount in U.S. dollars;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val="false"/>
          <w:i w:val="false"/>
          <w:caps w:val="false"/>
          <w:smallCaps w:val="false"/>
          <w:sz w:val="20"/>
        </w:rPr>
        <w:t>whether interest will be payable in cash or additional Securities at the Company’s or the Securityholders’ option and the terms and conditions upon which the election may be made;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val="false"/>
          <w:i w:val="false"/>
          <w:caps w:val="false"/>
          <w:smallCaps w:val="false"/>
          <w:sz w:val="20"/>
        </w:rPr>
        <w:t>any restrictions on transfer, sale or assignment of the Securities of the series;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val="false"/>
          <w:i w:val="false"/>
          <w:caps w:val="false"/>
          <w:smallCaps w:val="false"/>
          <w:sz w:val="20"/>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Denominations: Provisions for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Execution and Authentications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Security Registrar for each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Benefits of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REDEMPTION OF SECURITIES AND SINKING FUND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Paying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5</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SECURITYHOLDERS’ LISTS AND REPORTS BY THE COMPANY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6</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Application of Moneys Collected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Control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Undertaking to Pay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7</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The Trustee shall not be required to give any bond or surety in respect of the performance of its powers or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The permissive right of the Trustee to do things enumerated in this Indenture shall not be construed as a duty of the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No Trustee shall have any duty or responsibility for any act or omission of any other Trustee appointed with respect to a series of Securities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Moneys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Reliance on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at any time any one of the following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Merger, Conversion, Consolidation or Succession to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7.14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8</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CONCERNING THE SECURITYHOLDERS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Evidence of Action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Proof of Execution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Who May be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9</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to comply with Article Ten;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to comply with any requirements of the Commission or any successor in connection with the qualification of this Indenture under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Effect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Execution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10</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SUCCESSOR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11</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Discharge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Deposited Moneys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11.05 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12</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IMMUNITY OF INCORPORATORS, STOCKHOLDERS,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No Recourse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13</w:t>
      </w:r>
      <w:r>
        <w:rPr>
          <w:rFonts w:ascii="Times New Roman;Times;Serif" w:hAnsi="Times New Roman;Times;Serif"/>
          <w:b w:val="false"/>
          <w:i w:val="false"/>
          <w:caps w:val="false"/>
          <w:smallCaps w:val="false"/>
          <w:sz w:val="20"/>
        </w:rPr>
        <w:br/>
        <w:br/>
      </w:r>
      <w:r>
        <w:rPr>
          <w:rFonts w:ascii="Times New Roman;Times;Serif" w:hAnsi="Times New Roman;Times;Serif"/>
          <w:b/>
          <w:i w:val="false"/>
          <w:caps/>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13.01 Effect on 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13.02 Actions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13.03 Surrender of Company Powers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13.04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___________________________________________.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13.05 Governing Law; Jury Trial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13.06 Treatment of Securities as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13.08 Payments on Business Days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13.09 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13.10 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Separability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13.13 U.S.A Patriot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13.15 Table of Contents; Headings.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1324"/>
        <w:gridCol w:w="1785"/>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smallCaps/>
              </w:rPr>
            </w:pPr>
            <w:r>
              <w:rPr>
                <w:b/>
                <w:smallCaps/>
              </w:rPr>
              <w:t>Adlai Nortye GROUP Ltd.</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By:</w:t>
            </w:r>
          </w:p>
        </w:tc>
        <w:tc>
          <w:tcPr>
            <w:tcW w:w="178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Name: </w:t>
            </w:r>
          </w:p>
        </w:tc>
        <w:tc>
          <w:tcPr>
            <w:tcW w:w="1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Title:</w:t>
            </w:r>
          </w:p>
        </w:tc>
        <w:tc>
          <w:tcPr>
            <w:tcW w:w="1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1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b/>
                <w:smallCaps/>
                <w:sz w:val="20"/>
              </w:rPr>
              <w:t>[Trustee]</w:t>
            </w:r>
            <w:r>
              <w:rPr>
                <w:sz w:val="20"/>
              </w:rPr>
              <w:t>, as Trustee</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1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By:</w:t>
            </w:r>
          </w:p>
        </w:tc>
        <w:tc>
          <w:tcPr>
            <w:tcW w:w="178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Name:</w:t>
            </w:r>
          </w:p>
        </w:tc>
        <w:tc>
          <w:tcPr>
            <w:tcW w:w="1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20"/>
              </w:rPr>
            </w:pPr>
            <w:r>
              <w:rPr>
                <w:sz w:val="20"/>
              </w:rPr>
              <w:t>Title:</w:t>
            </w:r>
          </w:p>
        </w:tc>
        <w:tc>
          <w:tcPr>
            <w:tcW w:w="17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5390"/>
        <w:gridCol w:w="60"/>
        <w:gridCol w:w="2105"/>
      </w:tblGrid>
      <w:tr>
        <w:trPr/>
        <w:tc>
          <w:tcPr>
            <w:tcW w:w="5390" w:type="dxa"/>
            <w:tcBorders>
              <w:bottom w:val="single" w:sz="12" w:space="0" w:color="000000"/>
            </w:tcBorders>
            <w:vAlign w:val="center"/>
          </w:tcPr>
          <w:p>
            <w:pPr>
              <w:pStyle w:val="TableContents"/>
              <w:bidi w:val="0"/>
              <w:spacing w:before="0" w:after="283"/>
              <w:jc w:val="left"/>
              <w:rPr/>
            </w:pPr>
            <w:r>
              <w:rPr>
                <w:b/>
              </w:rPr>
              <w:t>Section of Trust Indenture Act of 1939, as Amended</w:t>
            </w:r>
            <w:r>
              <w:rPr/>
              <w:t> </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12" w:space="0" w:color="000000"/>
            </w:tcBorders>
            <w:vAlign w:val="center"/>
          </w:tcPr>
          <w:p>
            <w:pPr>
              <w:pStyle w:val="TableContents"/>
              <w:bidi w:val="0"/>
              <w:spacing w:before="0" w:after="283"/>
              <w:jc w:val="center"/>
              <w:rPr>
                <w:b/>
              </w:rPr>
            </w:pPr>
            <w:r>
              <w:rPr>
                <w:b/>
              </w:rPr>
              <w:t>Section of Indenture</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7.09</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7.08</w:t>
            </w:r>
          </w:p>
        </w:tc>
      </w:tr>
      <w:tr>
        <w:trPr/>
        <w:tc>
          <w:tcPr>
            <w:tcW w:w="53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7.10</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310(c)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Inapplicable</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7.13</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311(b)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7.13</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Inapplicable</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312(a)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5.01</w:t>
            </w:r>
          </w:p>
        </w:tc>
      </w:tr>
      <w:tr>
        <w:trPr/>
        <w:tc>
          <w:tcPr>
            <w:tcW w:w="53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5.02(a)</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5.02(c)</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5.02(c)</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5.04(a)</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5.04(b)</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5.04(a)</w:t>
            </w:r>
          </w:p>
        </w:tc>
      </w:tr>
      <w:tr>
        <w:trPr/>
        <w:tc>
          <w:tcPr>
            <w:tcW w:w="53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5.04(b)</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313(d)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5.04(c)</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5.03</w:t>
            </w:r>
          </w:p>
        </w:tc>
      </w:tr>
      <w:tr>
        <w:trPr/>
        <w:tc>
          <w:tcPr>
            <w:tcW w:w="53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13.12</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Inapplicable</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13.07(a)</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Inapplicable</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13.07(b)</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Inapplicable</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7.01(a)</w:t>
            </w:r>
          </w:p>
        </w:tc>
      </w:tr>
      <w:tr>
        <w:trPr/>
        <w:tc>
          <w:tcPr>
            <w:tcW w:w="53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7.01(b)</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315(b)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7.14</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7.01</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315(d)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7.01(b)</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6.07</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316(a)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6.06</w:t>
            </w:r>
          </w:p>
        </w:tc>
      </w:tr>
      <w:tr>
        <w:trPr/>
        <w:tc>
          <w:tcPr>
            <w:tcW w:w="53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8.04</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6.04</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8.01</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6.02</w:t>
            </w:r>
          </w:p>
        </w:tc>
      </w:tr>
      <w:tr>
        <w:trPr/>
        <w:tc>
          <w:tcPr>
            <w:tcW w:w="5390" w:type="dxa"/>
            <w:tcBorders/>
            <w:shd w:fill="CCEEFF" w:val="clear"/>
            <w:tcMar>
              <w:bottom w:w="0" w:type="dxa"/>
            </w:tcMar>
            <w:vAlign w:val="center"/>
          </w:tcPr>
          <w:p>
            <w:pPr>
              <w:pStyle w:val="TableContents"/>
              <w:bidi w:val="0"/>
              <w:spacing w:before="0" w:after="283"/>
              <w:jc w:val="both"/>
              <w:rPr>
                <w:sz w:val="20"/>
              </w:rPr>
            </w:pPr>
            <w:r>
              <w:rPr>
                <w:sz w:val="20"/>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center"/>
              <w:rPr>
                <w:sz w:val="20"/>
              </w:rPr>
            </w:pPr>
            <w:r>
              <w:rPr>
                <w:sz w:val="20"/>
              </w:rPr>
              <w:t>4.03</w:t>
            </w:r>
          </w:p>
        </w:tc>
      </w:tr>
      <w:tr>
        <w:trPr/>
        <w:tc>
          <w:tcPr>
            <w:tcW w:w="5390" w:type="dxa"/>
            <w:tcBorders/>
            <w:shd w:fill="FFFFFF" w:val="clear"/>
            <w:tcMar>
              <w:bottom w:w="0" w:type="dxa"/>
            </w:tcMar>
            <w:vAlign w:val="center"/>
          </w:tcPr>
          <w:p>
            <w:pPr>
              <w:pStyle w:val="TableContents"/>
              <w:bidi w:val="0"/>
              <w:spacing w:before="0" w:after="283"/>
              <w:jc w:val="both"/>
              <w:rPr>
                <w:sz w:val="20"/>
              </w:rPr>
            </w:pPr>
            <w:r>
              <w:rPr>
                <w:sz w:val="20"/>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5" w:type="dxa"/>
            <w:tcBorders/>
            <w:shd w:fill="FFFFFF" w:val="clear"/>
            <w:tcMar>
              <w:bottom w:w="0" w:type="dxa"/>
            </w:tcMar>
            <w:vAlign w:val="center"/>
          </w:tcPr>
          <w:p>
            <w:pPr>
              <w:pStyle w:val="TableContents"/>
              <w:bidi w:val="0"/>
              <w:spacing w:before="0" w:after="283"/>
              <w:jc w:val="center"/>
              <w:rPr>
                <w:sz w:val="20"/>
              </w:rPr>
            </w:pPr>
            <w:r>
              <w:rPr>
                <w:sz w:val="20"/>
              </w:rPr>
              <w:t>13.09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sz w:val="20"/>
              </w:rPr>
            </w:pPr>
            <w:r>
              <w:rPr>
                <w:sz w:val="20"/>
              </w:rPr>
              <w:t>(1)</w:t>
            </w:r>
          </w:p>
        </w:tc>
        <w:tc>
          <w:tcPr>
            <w:tcW w:w="9959" w:type="dxa"/>
            <w:tcBorders/>
            <w:vAlign w:val="center"/>
          </w:tcPr>
          <w:p>
            <w:pPr>
              <w:pStyle w:val="TableContents"/>
              <w:bidi w:val="0"/>
              <w:spacing w:before="0" w:after="283"/>
              <w:jc w:val="both"/>
              <w:rPr>
                <w:sz w:val="20"/>
              </w:rPr>
            </w:pPr>
            <w:r>
              <w:rPr>
                <w:sz w:val="20"/>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9" w:name="ea030481202ex5-1.htm"/>
      <w:bookmarkStart w:id="30" w:name="ksea030481202ex51"/>
      <w:bookmarkEnd w:id="29"/>
      <w:bookmarkEnd w:id="30"/>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828675" cy="523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8"/>
                    <a:stretch>
                      <a:fillRect/>
                    </a:stretch>
                  </pic:blipFill>
                  <pic:spPr bwMode="auto">
                    <a:xfrm>
                      <a:off x="0" y="0"/>
                      <a:ext cx="828675" cy="523875"/>
                    </a:xfrm>
                    <a:prstGeom prst="rect">
                      <a:avLst/>
                    </a:prstGeom>
                  </pic:spPr>
                </pic:pic>
              </a:graphicData>
            </a:graphic>
          </wp:inline>
        </w:drawing>
      </w:r>
    </w:p>
    <w:p>
      <w:pPr>
        <w:pStyle w:val="TextBody"/>
        <w:bidi w:val="0"/>
        <w:spacing w:before="0" w:after="283"/>
        <w:jc w:val="left"/>
        <w:rPr/>
      </w:pPr>
      <w:r>
        <w:rPr/>
        <w:t> </w:t>
      </w:r>
    </w:p>
    <w:tbl>
      <w:tblPr>
        <w:tblW w:w="5395" w:type="dxa"/>
        <w:jc w:val="left"/>
        <w:tblInd w:w="0" w:type="dxa"/>
        <w:tblLayout w:type="fixed"/>
        <w:tblCellMar>
          <w:top w:w="0" w:type="dxa"/>
          <w:left w:w="0" w:type="dxa"/>
          <w:bottom w:w="0" w:type="dxa"/>
          <w:right w:w="0" w:type="dxa"/>
        </w:tblCellMar>
      </w:tblPr>
      <w:tblGrid>
        <w:gridCol w:w="3050"/>
        <w:gridCol w:w="2345"/>
      </w:tblGrid>
      <w:tr>
        <w:trPr/>
        <w:tc>
          <w:tcPr>
            <w:tcW w:w="3050" w:type="dxa"/>
            <w:tcBorders/>
            <w:vAlign w:val="center"/>
          </w:tcPr>
          <w:p>
            <w:pPr>
              <w:pStyle w:val="TableContents"/>
              <w:bidi w:val="0"/>
              <w:spacing w:before="0" w:after="283"/>
              <w:jc w:val="left"/>
              <w:rPr/>
            </w:pPr>
            <w:r>
              <w:rPr/>
              <w:t>The Bank of New York Mellon</w:t>
            </w:r>
          </w:p>
        </w:tc>
        <w:tc>
          <w:tcPr>
            <w:tcW w:w="2345" w:type="dxa"/>
            <w:tcBorders/>
            <w:vAlign w:val="center"/>
          </w:tcPr>
          <w:p>
            <w:pPr>
              <w:pStyle w:val="TableContents"/>
              <w:bidi w:val="0"/>
              <w:spacing w:before="0" w:after="283"/>
              <w:jc w:val="right"/>
              <w:rPr>
                <w:b/>
              </w:rPr>
            </w:pPr>
            <w:r>
              <w:rPr>
                <w:b/>
              </w:rPr>
              <w:t>Private &amp; Confidential</w:t>
            </w:r>
          </w:p>
        </w:tc>
      </w:tr>
      <w:tr>
        <w:trPr/>
        <w:tc>
          <w:tcPr>
            <w:tcW w:w="3050" w:type="dxa"/>
            <w:tcBorders/>
            <w:vAlign w:val="center"/>
          </w:tcPr>
          <w:p>
            <w:pPr>
              <w:pStyle w:val="TableContents"/>
              <w:bidi w:val="0"/>
              <w:spacing w:before="0" w:after="283"/>
              <w:jc w:val="left"/>
              <w:rPr/>
            </w:pPr>
            <w:r>
              <w:rPr/>
              <w:t>240 Greenwich Street</w:t>
            </w:r>
          </w:p>
        </w:tc>
        <w:tc>
          <w:tcPr>
            <w:tcW w:w="2345" w:type="dxa"/>
            <w:tcBorders/>
            <w:vAlign w:val="center"/>
          </w:tcPr>
          <w:p>
            <w:pPr>
              <w:pStyle w:val="TableContents"/>
              <w:bidi w:val="0"/>
              <w:spacing w:before="0" w:after="283"/>
              <w:jc w:val="right"/>
              <w:rPr>
                <w:b/>
              </w:rPr>
            </w:pPr>
            <w:r>
              <w:rPr>
                <w:b/>
              </w:rPr>
              <w:t>By Email</w:t>
            </w:r>
          </w:p>
        </w:tc>
      </w:tr>
      <w:tr>
        <w:trPr/>
        <w:tc>
          <w:tcPr>
            <w:tcW w:w="3050" w:type="dxa"/>
            <w:tcBorders/>
            <w:vAlign w:val="center"/>
          </w:tcPr>
          <w:p>
            <w:pPr>
              <w:pStyle w:val="TableContents"/>
              <w:bidi w:val="0"/>
              <w:spacing w:before="0" w:after="283"/>
              <w:jc w:val="left"/>
              <w:rPr/>
            </w:pPr>
            <w:r>
              <w:rPr/>
              <w:t>New York, NY 10286</w:t>
            </w:r>
          </w:p>
        </w:tc>
        <w:tc>
          <w:tcPr>
            <w:tcW w:w="234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United States of America</w:t>
            </w:r>
          </w:p>
        </w:tc>
        <w:tc>
          <w:tcPr>
            <w:tcW w:w="234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500" w:type="dxa"/>
        <w:jc w:val="left"/>
        <w:tblInd w:w="0" w:type="dxa"/>
        <w:tblLayout w:type="fixed"/>
        <w:tblCellMar>
          <w:top w:w="0" w:type="dxa"/>
          <w:left w:w="0" w:type="dxa"/>
          <w:bottom w:w="0" w:type="dxa"/>
          <w:right w:w="0" w:type="dxa"/>
        </w:tblCellMar>
      </w:tblPr>
      <w:tblGrid>
        <w:gridCol w:w="2750"/>
        <w:gridCol w:w="1580"/>
        <w:gridCol w:w="1640"/>
        <w:gridCol w:w="530"/>
      </w:tblGrid>
      <w:tr>
        <w:trPr/>
        <w:tc>
          <w:tcPr>
            <w:tcW w:w="2750" w:type="dxa"/>
            <w:tcBorders/>
            <w:vAlign w:val="center"/>
          </w:tcPr>
          <w:p>
            <w:pPr>
              <w:pStyle w:val="TableContents"/>
              <w:bidi w:val="0"/>
              <w:spacing w:before="0" w:after="283"/>
              <w:jc w:val="left"/>
              <w:rPr>
                <w:sz w:val="20"/>
              </w:rPr>
            </w:pPr>
            <w:r>
              <w:rPr>
                <w:sz w:val="20"/>
              </w:rPr>
              <w:t>SENDER’S REF</w:t>
            </w:r>
          </w:p>
        </w:tc>
        <w:tc>
          <w:tcPr>
            <w:tcW w:w="1580" w:type="dxa"/>
            <w:tcBorders/>
            <w:vAlign w:val="center"/>
          </w:tcPr>
          <w:p>
            <w:pPr>
              <w:pStyle w:val="TableContents"/>
              <w:bidi w:val="0"/>
              <w:spacing w:before="0" w:after="283"/>
              <w:jc w:val="left"/>
              <w:rPr>
                <w:sz w:val="20"/>
              </w:rPr>
            </w:pPr>
            <w:r>
              <w:rPr>
                <w:sz w:val="20"/>
              </w:rPr>
              <w:t>RECIPIENT’S REF</w:t>
            </w:r>
          </w:p>
        </w:tc>
        <w:tc>
          <w:tcPr>
            <w:tcW w:w="1640" w:type="dxa"/>
            <w:tcBorders/>
            <w:vAlign w:val="center"/>
          </w:tcPr>
          <w:p>
            <w:pPr>
              <w:pStyle w:val="TableContents"/>
              <w:bidi w:val="0"/>
              <w:spacing w:before="0" w:after="283"/>
              <w:jc w:val="left"/>
              <w:rPr>
                <w:sz w:val="20"/>
              </w:rPr>
            </w:pPr>
            <w:r>
              <w:rPr>
                <w:sz w:val="20"/>
              </w:rPr>
              <w:t>DATE</w:t>
            </w:r>
          </w:p>
        </w:tc>
        <w:tc>
          <w:tcPr>
            <w:tcW w:w="530" w:type="dxa"/>
            <w:tcBorders/>
            <w:vAlign w:val="center"/>
          </w:tcPr>
          <w:p>
            <w:pPr>
              <w:pStyle w:val="TableContents"/>
              <w:bidi w:val="0"/>
              <w:spacing w:before="0" w:after="283"/>
              <w:jc w:val="left"/>
              <w:rPr>
                <w:sz w:val="20"/>
              </w:rPr>
            </w:pPr>
            <w:r>
              <w:rPr>
                <w:sz w:val="20"/>
              </w:rPr>
              <w:t>PAGE</w:t>
            </w:r>
          </w:p>
        </w:tc>
      </w:tr>
      <w:tr>
        <w:trPr/>
        <w:tc>
          <w:tcPr>
            <w:tcW w:w="2750" w:type="dxa"/>
            <w:tcBorders/>
            <w:vAlign w:val="center"/>
          </w:tcPr>
          <w:p>
            <w:pPr>
              <w:pStyle w:val="TableContents"/>
              <w:bidi w:val="0"/>
              <w:spacing w:before="0" w:after="283"/>
              <w:jc w:val="left"/>
              <w:rPr>
                <w:sz w:val="20"/>
              </w:rPr>
            </w:pPr>
            <w:r>
              <w:rPr>
                <w:sz w:val="20"/>
              </w:rPr>
              <w:t>AJD/YTK/356438/3</w:t>
            </w:r>
          </w:p>
        </w:tc>
        <w:tc>
          <w:tcPr>
            <w:tcW w:w="1580" w:type="dxa"/>
            <w:tcBorders/>
            <w:vAlign w:val="center"/>
          </w:tcPr>
          <w:p>
            <w:pPr>
              <w:pStyle w:val="TableContents"/>
              <w:bidi w:val="0"/>
              <w:spacing w:before="0" w:after="283"/>
              <w:jc w:val="left"/>
              <w:rPr>
                <w:sz w:val="20"/>
              </w:rPr>
            </w:pPr>
            <w:r>
              <w:rPr>
                <w:sz w:val="20"/>
              </w:rPr>
              <w:t>-</w:t>
            </w:r>
          </w:p>
        </w:tc>
        <w:tc>
          <w:tcPr>
            <w:tcW w:w="1640" w:type="dxa"/>
            <w:tcBorders/>
            <w:vAlign w:val="center"/>
          </w:tcPr>
          <w:p>
            <w:pPr>
              <w:pStyle w:val="TableContents"/>
              <w:bidi w:val="0"/>
              <w:spacing w:before="0" w:after="283"/>
              <w:jc w:val="left"/>
              <w:rPr/>
            </w:pPr>
            <w:r>
              <w:rPr/>
              <w:t xml:space="preserve">11 </w:t>
            </w:r>
            <w:r>
              <w:rPr>
                <w:sz w:val="20"/>
              </w:rPr>
              <w:t>September 2026</w:t>
            </w:r>
          </w:p>
        </w:tc>
        <w:tc>
          <w:tcPr>
            <w:tcW w:w="530" w:type="dxa"/>
            <w:tcBorders/>
            <w:vAlign w:val="center"/>
          </w:tcPr>
          <w:p>
            <w:pPr>
              <w:pStyle w:val="TableContents"/>
              <w:bidi w:val="0"/>
              <w:spacing w:before="0" w:after="283"/>
              <w:jc w:val="left"/>
              <w:rPr>
                <w:sz w:val="20"/>
              </w:rPr>
            </w:pPr>
            <w:r>
              <w:rPr>
                <w:sz w:val="20"/>
              </w:rPr>
              <w:t>1/6</w:t>
            </w:r>
          </w:p>
        </w:tc>
      </w:tr>
      <w:tr>
        <w:trPr/>
        <w:tc>
          <w:tcPr>
            <w:tcW w:w="275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20"/>
              </w:rPr>
            </w:pPr>
            <w:r>
              <w:rPr>
                <w:sz w:val="20"/>
              </w:rPr>
              <w:t>Dear Sirs,</w:t>
            </w:r>
          </w:p>
        </w:tc>
        <w:tc>
          <w:tcPr>
            <w:tcW w:w="158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ind w:left="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ableContents"/>
              <w:bidi w:val="0"/>
              <w:spacing w:before="0" w:after="0"/>
              <w:ind w:left="5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Opinion</w:t>
            </w:r>
          </w:p>
        </w:tc>
        <w:tc>
          <w:tcPr>
            <w:tcW w:w="158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left"/>
              <w:rPr/>
            </w:pPr>
            <w:r>
              <w:rPr/>
              <w:t>1.</w:t>
            </w:r>
          </w:p>
        </w:tc>
        <w:tc>
          <w:tcPr>
            <w:tcW w:w="1190" w:type="dxa"/>
            <w:tcBorders/>
            <w:vAlign w:val="center"/>
          </w:tcPr>
          <w:p>
            <w:pPr>
              <w:pStyle w:val="TableContents"/>
              <w:bidi w:val="0"/>
              <w:spacing w:before="0" w:after="283"/>
              <w:jc w:val="left"/>
              <w:rPr>
                <w:u w:val="single"/>
              </w:rPr>
            </w:pPr>
            <w:r>
              <w:rPr>
                <w:u w:val="single"/>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We have been requested to issue this legal opinion in respect of Adlai Nortye Group Ltd. (the “</w:t>
            </w:r>
            <w:r>
              <w:rPr>
                <w:rFonts w:ascii="Times New Roman;Times;Serif" w:hAnsi="Times New Roman;Times;Serif"/>
                <w:b/>
              </w:rPr>
              <w:t>Company</w:t>
            </w:r>
            <w:r>
              <w:rPr/>
              <w:t>”) in connection with (i) its re-domiciliation from the Cayman Islands to Singapore (the “</w:t>
            </w:r>
            <w:r>
              <w:rPr>
                <w:rFonts w:ascii="Times New Roman;Times;Serif" w:hAnsi="Times New Roman;Times;Serif"/>
                <w:b/>
              </w:rPr>
              <w:t>Re-domiciliation</w:t>
            </w:r>
            <w:r>
              <w:rPr/>
              <w:t>”); and (ii) the continuance of its ADS programme following the Re-domiciliation.</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pPr>
            <w:r>
              <w:rPr/>
              <w:t>1.2</w:t>
            </w:r>
          </w:p>
        </w:tc>
        <w:tc>
          <w:tcPr>
            <w:tcW w:w="3080" w:type="dxa"/>
            <w:tcBorders/>
            <w:vAlign w:val="center"/>
          </w:tcPr>
          <w:p>
            <w:pPr>
              <w:pStyle w:val="TableContents"/>
              <w:bidi w:val="0"/>
              <w:spacing w:before="0" w:after="283"/>
              <w:jc w:val="left"/>
              <w:rPr/>
            </w:pPr>
            <w:r>
              <w:rPr/>
              <w:t>For the purposes of our opinion:</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75"/>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70" w:type="dxa"/>
            <w:tcBorders/>
            <w:vAlign w:val="center"/>
          </w:tcPr>
          <w:p>
            <w:pPr>
              <w:pStyle w:val="TableContents"/>
              <w:bidi w:val="0"/>
              <w:spacing w:before="0" w:after="283"/>
              <w:jc w:val="left"/>
              <w:rPr/>
            </w:pPr>
            <w:r>
              <w:rPr/>
              <w:t>“</w:t>
            </w:r>
            <w:r>
              <w:rPr>
                <w:rFonts w:ascii="Times New Roman;Times;Serif" w:hAnsi="Times New Roman;Times;Serif"/>
                <w:b/>
              </w:rPr>
              <w:t>ACRA</w:t>
            </w:r>
            <w:r>
              <w:rPr/>
              <w:t>” means the Accounting and Corporate Regulatory Authority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w:t>
            </w:r>
            <w:r>
              <w:rPr>
                <w:rFonts w:ascii="Times New Roman;Times;Serif" w:hAnsi="Times New Roman;Times;Serif"/>
                <w:b/>
              </w:rPr>
              <w:t>ADS</w:t>
            </w:r>
            <w:r>
              <w:rPr/>
              <w:t>” means the American Depositary Shares, each representing three (3) Class A Ordinary Shares in the capital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w:t>
            </w:r>
            <w:r>
              <w:rPr>
                <w:rFonts w:ascii="Times New Roman;Times;Serif" w:hAnsi="Times New Roman;Times;Serif"/>
                <w:b/>
              </w:rPr>
              <w:t>Cayman Company</w:t>
            </w:r>
            <w:r>
              <w:rPr/>
              <w:t>” means Adlai Nortye Ltd., an exempted company incorporated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9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60" w:type="dxa"/>
            <w:tcBorders/>
            <w:vAlign w:val="center"/>
          </w:tcPr>
          <w:p>
            <w:pPr>
              <w:pStyle w:val="TableContents"/>
              <w:bidi w:val="0"/>
              <w:spacing w:before="0" w:after="283"/>
              <w:jc w:val="left"/>
              <w:rPr/>
            </w:pPr>
            <w:r>
              <w:rPr/>
              <w:t>“</w:t>
            </w:r>
            <w:r>
              <w:rPr>
                <w:rFonts w:ascii="Times New Roman;Times;Serif" w:hAnsi="Times New Roman;Times;Serif"/>
                <w:b/>
              </w:rPr>
              <w:t>Class A Ordinary Share</w:t>
            </w:r>
            <w:r>
              <w:rPr/>
              <w:t>” has the meaning given to it in the Constitution;</w:t>
            </w:r>
          </w:p>
        </w:tc>
      </w:tr>
    </w:tbl>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27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215" w:type="dxa"/>
            <w:tcBorders/>
            <w:vAlign w:val="center"/>
          </w:tcPr>
          <w:p>
            <w:pPr>
              <w:pStyle w:val="TableContents"/>
              <w:bidi w:val="0"/>
              <w:spacing w:before="0" w:after="283"/>
              <w:jc w:val="left"/>
              <w:rPr/>
            </w:pPr>
            <w:r>
              <w:rPr/>
              <w:t>“</w:t>
            </w:r>
            <w:r>
              <w:rPr>
                <w:rFonts w:ascii="Times New Roman;Times;Serif" w:hAnsi="Times New Roman;Times;Serif"/>
                <w:b/>
              </w:rPr>
              <w:t>Companies Act</w:t>
            </w:r>
            <w:r>
              <w:rPr/>
              <w:t>” means the Companies Act 1967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(f)</w:t>
            </w:r>
          </w:p>
        </w:tc>
        <w:tc>
          <w:tcPr>
            <w:tcW w:w="9928" w:type="dxa"/>
            <w:tcBorders/>
            <w:vAlign w:val="center"/>
          </w:tcPr>
          <w:p>
            <w:pPr>
              <w:pStyle w:val="TableContents"/>
              <w:bidi w:val="0"/>
              <w:spacing w:before="0" w:after="283"/>
              <w:jc w:val="both"/>
              <w:rPr/>
            </w:pPr>
            <w:r>
              <w:rPr/>
              <w:t>“</w:t>
            </w:r>
            <w:r>
              <w:rPr>
                <w:rFonts w:ascii="Times New Roman;Times;Serif" w:hAnsi="Times New Roman;Times;Serif"/>
                <w:b/>
              </w:rPr>
              <w:t>Constitution</w:t>
            </w:r>
            <w:r>
              <w:rPr/>
              <w:t>” means the constitution of the Company adopted by the Company with effect from 29 July 2026;</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9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5555" w:type="dxa"/>
            <w:tcBorders/>
            <w:vAlign w:val="center"/>
          </w:tcPr>
          <w:p>
            <w:pPr>
              <w:pStyle w:val="TableContents"/>
              <w:bidi w:val="0"/>
              <w:spacing w:before="0" w:after="283"/>
              <w:jc w:val="left"/>
              <w:rPr/>
            </w:pPr>
            <w:r>
              <w:rPr/>
              <w:t>“</w:t>
            </w:r>
            <w:r>
              <w:rPr>
                <w:rFonts w:ascii="Times New Roman;Times;Serif" w:hAnsi="Times New Roman;Times;Serif"/>
                <w:b/>
              </w:rPr>
              <w:t>Depositary</w:t>
            </w:r>
            <w:r>
              <w:rPr/>
              <w:t>” means The Bank of New York Mellon;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(h)</w:t>
            </w:r>
          </w:p>
        </w:tc>
        <w:tc>
          <w:tcPr>
            <w:tcW w:w="9909" w:type="dxa"/>
            <w:tcBorders/>
            <w:vAlign w:val="center"/>
          </w:tcPr>
          <w:p>
            <w:pPr>
              <w:pStyle w:val="TableContents"/>
              <w:bidi w:val="0"/>
              <w:spacing w:before="0" w:after="283"/>
              <w:jc w:val="both"/>
              <w:rPr/>
            </w:pPr>
            <w:r>
              <w:rPr/>
              <w:t>“</w:t>
            </w:r>
            <w:r>
              <w:rPr>
                <w:rFonts w:ascii="Times New Roman;Times;Serif" w:hAnsi="Times New Roman;Times;Serif"/>
                <w:b/>
              </w:rPr>
              <w:t>Deposit Agreement</w:t>
            </w:r>
            <w:r>
              <w:rPr/>
              <w:t>” means the deposit agreement entered into amongst the Cayman Company, the Depositary and owners and holders of ADS dated 29 September 2023.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733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9"/>
                    <a:stretch>
                      <a:fillRect/>
                    </a:stretch>
                  </pic:blipFill>
                  <pic:spPr bwMode="auto">
                    <a:xfrm>
                      <a:off x="0" y="0"/>
                      <a:ext cx="7143750" cy="733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885"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885" w:right="0" w:hanging="72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0"/>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885" w:right="0" w:hanging="72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283"/>
              <w:jc w:val="left"/>
              <w:rPr/>
            </w:pPr>
            <w:r>
              <w:rPr/>
              <w:t>2.</w:t>
            </w:r>
          </w:p>
        </w:tc>
        <w:tc>
          <w:tcPr>
            <w:tcW w:w="2135" w:type="dxa"/>
            <w:tcBorders/>
            <w:vAlign w:val="center"/>
          </w:tcPr>
          <w:p>
            <w:pPr>
              <w:pStyle w:val="TableContents"/>
              <w:bidi w:val="0"/>
              <w:spacing w:before="0" w:after="283"/>
              <w:jc w:val="left"/>
              <w:rPr>
                <w:u w:val="single"/>
              </w:rPr>
            </w:pPr>
            <w:r>
              <w:rPr>
                <w:u w:val="single"/>
              </w:rPr>
              <w:t>Documents Examined</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35"/>
        <w:gridCol w:w="5900"/>
      </w:tblGrid>
      <w:tr>
        <w:trPr/>
        <w:tc>
          <w:tcPr>
            <w:tcW w:w="335" w:type="dxa"/>
            <w:tcBorders/>
            <w:vAlign w:val="center"/>
          </w:tcPr>
          <w:p>
            <w:pPr>
              <w:pStyle w:val="TableContents"/>
              <w:bidi w:val="0"/>
              <w:spacing w:before="0" w:after="283"/>
              <w:jc w:val="left"/>
              <w:rPr/>
            </w:pPr>
            <w:r>
              <w:rPr/>
              <w:t>2.1</w:t>
            </w:r>
          </w:p>
        </w:tc>
        <w:tc>
          <w:tcPr>
            <w:tcW w:w="5900" w:type="dxa"/>
            <w:tcBorders/>
            <w:vAlign w:val="center"/>
          </w:tcPr>
          <w:p>
            <w:pPr>
              <w:pStyle w:val="TableContents"/>
              <w:bidi w:val="0"/>
              <w:spacing w:before="0" w:after="283"/>
              <w:jc w:val="left"/>
              <w:rPr/>
            </w:pPr>
            <w:r>
              <w:rPr/>
              <w:t>For the purposes of this opinion, we have examined copies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the certificate of confirmation of registration by transfer of company dated 29 July 2026 issued by ACRA;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left"/>
              <w:rPr/>
            </w:pPr>
            <w:r>
              <w:rPr/>
              <w:t>the notice of transfer of registration under section 359(3) of the Companies Act dated 29 July 2026 issued by ACRA;</w:t>
            </w:r>
          </w:p>
        </w:tc>
      </w:tr>
    </w:tbl>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7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595" w:type="dxa"/>
            <w:tcBorders/>
            <w:vAlign w:val="center"/>
          </w:tcPr>
          <w:p>
            <w:pPr>
              <w:pStyle w:val="TableContents"/>
              <w:bidi w:val="0"/>
              <w:spacing w:before="0" w:after="283"/>
              <w:jc w:val="left"/>
              <w:rPr/>
            </w:pPr>
            <w:r>
              <w:rPr/>
              <w:t>the Constitution;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(d)</w:t>
            </w:r>
          </w:p>
        </w:tc>
        <w:tc>
          <w:tcPr>
            <w:tcW w:w="9901" w:type="dxa"/>
            <w:tcBorders/>
            <w:vAlign w:val="center"/>
          </w:tcPr>
          <w:p>
            <w:pPr>
              <w:pStyle w:val="TableContents"/>
              <w:bidi w:val="0"/>
              <w:spacing w:before="0" w:after="283"/>
              <w:jc w:val="both"/>
              <w:rPr/>
            </w:pPr>
            <w:r>
              <w:rPr/>
              <w:t>the certificate of de-registration of the Cayman Company dated 10 August 2026 issued by the Assistant Registrar of Companies,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7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283"/>
              <w:jc w:val="left"/>
              <w:rPr/>
            </w:pPr>
            <w:r>
              <w:rPr/>
              <w:t>the register of members of the Company dated 29 July 2026 (the “</w:t>
            </w:r>
            <w:r>
              <w:rPr>
                <w:rFonts w:ascii="Times New Roman;Times;Serif" w:hAnsi="Times New Roman;Times;Serif"/>
                <w:b/>
              </w:rPr>
              <w:t>Register of Members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410"/>
        <w:gridCol w:w="3824"/>
      </w:tblGrid>
      <w:tr>
        <w:trPr/>
        <w:tc>
          <w:tcPr>
            <w:tcW w:w="7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(f)</w:t>
            </w:r>
          </w:p>
        </w:tc>
        <w:tc>
          <w:tcPr>
            <w:tcW w:w="3824" w:type="dxa"/>
            <w:tcBorders/>
            <w:vAlign w:val="center"/>
          </w:tcPr>
          <w:p>
            <w:pPr>
              <w:pStyle w:val="TableContents"/>
              <w:bidi w:val="0"/>
              <w:spacing w:before="0" w:after="283"/>
              <w:jc w:val="both"/>
              <w:rPr/>
            </w:pPr>
            <w:r>
              <w:rPr/>
              <w:t>the Deposit Agreement,</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(collectively, the “</w:t>
            </w:r>
            <w:r>
              <w:rPr>
                <w:rFonts w:ascii="Times New Roman;Times;Serif" w:hAnsi="Times New Roman;Times;Serif"/>
                <w:b/>
              </w:rPr>
              <w:t>Examined Documents</w:t>
            </w:r>
            <w:r>
              <w:rPr/>
              <w:t>”).</w:t>
            </w:r>
          </w:p>
        </w:tc>
      </w:tr>
    </w:tbl>
    <w:p>
      <w:pPr>
        <w:pStyle w:val="TextBody"/>
        <w:bidi w:val="0"/>
        <w:spacing w:before="0" w:after="0"/>
        <w:ind w:left="885" w:right="4488"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Other than the Examined Documents which we have reviewed for the purpose of this opinion, we have not reviewed any other document and we have not made any other enquiries or investigations in connection with the rendering of this opinion. Our opinion herein is accordingly subject to there not being anything contained in any document not reviewed by us that may require us to vary or amend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15"/>
        <w:gridCol w:w="860"/>
      </w:tblGrid>
      <w:tr>
        <w:trPr/>
        <w:tc>
          <w:tcPr>
            <w:tcW w:w="215" w:type="dxa"/>
            <w:tcBorders/>
            <w:vAlign w:val="center"/>
          </w:tcPr>
          <w:p>
            <w:pPr>
              <w:pStyle w:val="TableContents"/>
              <w:bidi w:val="0"/>
              <w:spacing w:before="0" w:after="283"/>
              <w:jc w:val="left"/>
              <w:rPr>
                <w:b/>
              </w:rPr>
            </w:pPr>
            <w:r>
              <w:rPr>
                <w:b/>
              </w:rPr>
              <w:t>3.</w:t>
            </w:r>
          </w:p>
        </w:tc>
        <w:tc>
          <w:tcPr>
            <w:tcW w:w="860" w:type="dxa"/>
            <w:tcBorders/>
            <w:vAlign w:val="center"/>
          </w:tcPr>
          <w:p>
            <w:pPr>
              <w:pStyle w:val="TableContents"/>
              <w:bidi w:val="0"/>
              <w:spacing w:before="0" w:after="283"/>
              <w:jc w:val="left"/>
              <w:rPr>
                <w:b/>
                <w:u w:val="single"/>
              </w:rPr>
            </w:pPr>
            <w:r>
              <w:rPr>
                <w:b/>
                <w:u w:val="single"/>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assumptions in </w:t>
      </w:r>
      <w:r>
        <w:rPr>
          <w:rFonts w:ascii="Times New Roman;Times;Serif" w:hAnsi="Times New Roman;Times;Serif"/>
          <w:b/>
          <w:i w:val="false"/>
          <w:caps w:val="false"/>
          <w:smallCaps w:val="false"/>
          <w:sz w:val="20"/>
        </w:rPr>
        <w:t xml:space="preserve">Annex 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xml:space="preserve">) hereto and subject to the qualifications set out in </w:t>
      </w:r>
      <w:r>
        <w:rPr>
          <w:rFonts w:ascii="Times New Roman;Times;Serif" w:hAnsi="Times New Roman;Times;Serif"/>
          <w:b/>
          <w:i w:val="false"/>
          <w:caps w:val="false"/>
          <w:smallCaps w:val="false"/>
          <w:sz w:val="20"/>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Qualifications</w:t>
      </w:r>
      <w:r>
        <w:rPr>
          <w:rFonts w:ascii="Times New Roman;Times;Serif" w:hAnsi="Times New Roman;Times;Serif"/>
          <w:b w:val="false"/>
          <w:i w:val="false"/>
          <w:caps w:val="false"/>
          <w:smallCaps w:val="false"/>
          <w:sz w:val="20"/>
        </w:rPr>
        <w:t>) hereto and to any matters not disclosed to us, we are of the opinion that, so far as the present laws of Singapore are concerned: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The Company is a company registered on 29 July 2026 by transfer of registration of the Cayman Company under Part 10A of the Companies Act and is validly existing under the laws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Pursuant to section 361(2) of the Companies Act, the transfer of registration of the Cayman Company under Part 10A of the Companies Act does not:</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275"/>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375" w:type="dxa"/>
            <w:tcBorders/>
            <w:vAlign w:val="center"/>
          </w:tcPr>
          <w:p>
            <w:pPr>
              <w:pStyle w:val="TableContents"/>
              <w:bidi w:val="0"/>
              <w:spacing w:before="0" w:after="283"/>
              <w:jc w:val="left"/>
              <w:rPr/>
            </w:pPr>
            <w:r>
              <w:rPr/>
              <w:t>create a new legal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left"/>
              <w:rPr/>
            </w:pPr>
            <w:r>
              <w:rPr/>
              <w:t>prejudice or affect the identity of the body corporate constituted by the Cayman Company or its continuity as a body corporate;</w:t>
            </w:r>
          </w:p>
        </w:tc>
      </w:tr>
    </w:tbl>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7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830" w:type="dxa"/>
            <w:tcBorders/>
            <w:vAlign w:val="center"/>
          </w:tcPr>
          <w:p>
            <w:pPr>
              <w:pStyle w:val="TableContents"/>
              <w:bidi w:val="0"/>
              <w:spacing w:before="0" w:after="283"/>
              <w:jc w:val="left"/>
              <w:rPr/>
            </w:pPr>
            <w:r>
              <w:rPr/>
              <w:t>affect the property, or rights or obligations, of the Cayman Company; or</w:t>
            </w:r>
          </w:p>
        </w:tc>
      </w:tr>
    </w:tbl>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29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90" w:type="dxa"/>
            <w:tcBorders/>
            <w:vAlign w:val="center"/>
          </w:tcPr>
          <w:p>
            <w:pPr>
              <w:pStyle w:val="TableContents"/>
              <w:bidi w:val="0"/>
              <w:spacing w:before="0" w:after="283"/>
              <w:jc w:val="left"/>
              <w:rPr/>
            </w:pPr>
            <w:r>
              <w:rPr/>
              <w:t>render defective any legal proceedings by or against the Cayman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legal proceedings that could have been continued or commenced by or against the Cayman Company before its registration may be continued or commenced by or against the Company after the registration. Accordingly, the Deposit Agreement constitutes enforceable obligations of the Company in Singapore, in accordance with the terms therein, to the extent that the Deposit Agreement is binding on the Company under the laws of the State of New York.</w:t>
      </w:r>
    </w:p>
    <w:p>
      <w:pPr>
        <w:pStyle w:val="TextBody"/>
        <w:bidi w:val="0"/>
        <w:spacing w:before="0" w:after="0"/>
        <w:ind w:left="885" w:right="25" w:hanging="720"/>
        <w:jc w:val="both"/>
        <w:rPr>
          <w:caps w:val="false"/>
          <w:smallCaps w:val="false"/>
        </w:rPr>
      </w:pPr>
      <w:r>
        <w:rPr>
          <w:caps w:val="false"/>
          <w:smallCaps w:val="false"/>
        </w:rPr>
        <w:t> </w:t>
      </w:r>
    </w:p>
    <w:p>
      <w:pPr>
        <w:pStyle w:val="TextBody"/>
        <w:bidi w:val="0"/>
        <w:spacing w:before="0" w:after="0"/>
        <w:ind w:left="885" w:right="25"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885" w:right="25" w:hanging="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1"/>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885" w:right="25"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Pursuant to section 190(4) of the Companies Act, the register of members of a public company is prima facie evidence of any matters inserted therein as required or authorised by the Companies Act. Based on, and as at the date of, the Register of Members, the Depositary is the holder of 86,598,492 Class A Ordinary Shares (the “</w:t>
            </w:r>
            <w:r>
              <w:rPr>
                <w:rFonts w:ascii="Times New Roman;Times;Serif" w:hAnsi="Times New Roman;Times;Serif"/>
                <w:b/>
              </w:rPr>
              <w:t>Deposited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3.4</w:t>
            </w:r>
          </w:p>
        </w:tc>
        <w:tc>
          <w:tcPr>
            <w:tcW w:w="9870" w:type="dxa"/>
            <w:tcBorders/>
            <w:vAlign w:val="center"/>
          </w:tcPr>
          <w:p>
            <w:pPr>
              <w:pStyle w:val="TableContents"/>
              <w:bidi w:val="0"/>
              <w:spacing w:before="0" w:after="283"/>
              <w:jc w:val="both"/>
              <w:rPr/>
            </w:pPr>
            <w:r>
              <w:rPr/>
              <w:t>To the extent the Deposited Shares were immediately prior to the Re-domiciliation, duly authorised, validly allotted, issued and fully paid and were not issued in breach of any pre-emptive or similar rights, the Deposited Shares will continue to be duly authorised, validly allotted, issued and fully paid and not issued in breach of any pre-emptive or similar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both"/>
              <w:rPr/>
            </w:pPr>
            <w:r>
              <w:rPr/>
              <w:t>Save as provided in the Constitution of the Company or any contractual agreement entered into by the Company, there are no restrictions on the transfer of the Deposited Shares under the laws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3.6</w:t>
            </w:r>
          </w:p>
        </w:tc>
        <w:tc>
          <w:tcPr>
            <w:tcW w:w="9870" w:type="dxa"/>
            <w:tcBorders/>
            <w:vAlign w:val="center"/>
          </w:tcPr>
          <w:p>
            <w:pPr>
              <w:pStyle w:val="TableContents"/>
              <w:bidi w:val="0"/>
              <w:spacing w:before="0" w:after="283"/>
              <w:jc w:val="both"/>
              <w:rPr/>
            </w:pPr>
            <w:r>
              <w:rPr/>
              <w:t>Following the Re-domiciliation, the deposit of the Deposited Shares with the Depositary against issuance of the ADSs and the listing of the ADSs on The Nasdaq Stock Market does not conflict with or result in a breach or violation of any of the terms or provisions of:</w:t>
            </w:r>
          </w:p>
        </w:tc>
      </w:tr>
    </w:tbl>
    <w:p>
      <w:pPr>
        <w:pStyle w:val="TextBody"/>
        <w:bidi w:val="0"/>
        <w:spacing w:before="0" w:after="0"/>
        <w:ind w:left="0" w:right="0" w:hanging="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7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775" w:type="dxa"/>
            <w:tcBorders/>
            <w:vAlign w:val="center"/>
          </w:tcPr>
          <w:p>
            <w:pPr>
              <w:pStyle w:val="TableContents"/>
              <w:bidi w:val="0"/>
              <w:spacing w:before="0" w:after="283"/>
              <w:jc w:val="left"/>
              <w:rPr/>
            </w:pPr>
            <w:r>
              <w:rPr/>
              <w:t>its Constitution;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relevant laws of Singapore which are generally applicable to offerings of securities and to companies in Singapore, namely the Securities and Futures Act 2001 of Singapore and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3.7</w:t>
            </w:r>
          </w:p>
        </w:tc>
        <w:tc>
          <w:tcPr>
            <w:tcW w:w="9870" w:type="dxa"/>
            <w:tcBorders/>
            <w:vAlign w:val="center"/>
          </w:tcPr>
          <w:p>
            <w:pPr>
              <w:pStyle w:val="TableContents"/>
              <w:bidi w:val="0"/>
              <w:spacing w:before="0" w:after="283"/>
              <w:jc w:val="both"/>
              <w:rPr/>
            </w:pPr>
            <w:r>
              <w:rPr/>
              <w:t>No consents, approvals, authorisations or orders are required from any governmental authorities in Singapore as a matter of Singapore laws applicable to companies generally for the deposit of the Deposited Shares with the Depositary against issuance of the ADSs and the listing of the ADSs on The Nasdaq Stock Market which have not been given or made or that are not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3.8</w:t>
            </w:r>
          </w:p>
        </w:tc>
        <w:tc>
          <w:tcPr>
            <w:tcW w:w="9870" w:type="dxa"/>
            <w:tcBorders/>
            <w:vAlign w:val="center"/>
          </w:tcPr>
          <w:p>
            <w:pPr>
              <w:pStyle w:val="TableContents"/>
              <w:bidi w:val="0"/>
              <w:spacing w:before="0" w:after="283"/>
              <w:jc w:val="both"/>
              <w:rPr/>
            </w:pPr>
            <w:r>
              <w:rPr/>
              <w:t>As at the date of this opinion, the Company has not been designated as a “designated entity” under the Significant Investments Review Act 2024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3.9</w:t>
            </w:r>
          </w:p>
        </w:tc>
        <w:tc>
          <w:tcPr>
            <w:tcW w:w="9870" w:type="dxa"/>
            <w:tcBorders/>
            <w:vAlign w:val="center"/>
          </w:tcPr>
          <w:p>
            <w:pPr>
              <w:pStyle w:val="TableContents"/>
              <w:bidi w:val="0"/>
              <w:spacing w:before="0" w:after="283"/>
              <w:jc w:val="both"/>
              <w:rPr/>
            </w:pPr>
            <w:r>
              <w:rPr/>
              <w:t>As at the date of this opinion, the Company has not been declared by notification in the Republic of Singapore Government Gazette to be a company for the purposes of Division 4 of Part 4 of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15"/>
        <w:gridCol w:w="1175"/>
      </w:tblGrid>
      <w:tr>
        <w:trPr/>
        <w:tc>
          <w:tcPr>
            <w:tcW w:w="215" w:type="dxa"/>
            <w:tcBorders/>
            <w:vAlign w:val="center"/>
          </w:tcPr>
          <w:p>
            <w:pPr>
              <w:pStyle w:val="TableContents"/>
              <w:bidi w:val="0"/>
              <w:spacing w:before="0" w:after="283"/>
              <w:jc w:val="left"/>
              <w:rPr>
                <w:b/>
              </w:rPr>
            </w:pPr>
            <w:r>
              <w:rPr>
                <w:b/>
              </w:rPr>
              <w:t>4.</w:t>
            </w:r>
          </w:p>
        </w:tc>
        <w:tc>
          <w:tcPr>
            <w:tcW w:w="1175" w:type="dxa"/>
            <w:tcBorders/>
            <w:vAlign w:val="center"/>
          </w:tcPr>
          <w:p>
            <w:pPr>
              <w:pStyle w:val="TableContents"/>
              <w:bidi w:val="0"/>
              <w:spacing w:before="0" w:after="283"/>
              <w:jc w:val="left"/>
              <w:rPr>
                <w:b/>
                <w:u w:val="single"/>
              </w:rPr>
            </w:pPr>
            <w:r>
              <w:rPr>
                <w:b/>
                <w:u w:val="single"/>
              </w:rPr>
              <w:t>Conclusion</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35"/>
        <w:gridCol w:w="7565"/>
      </w:tblGrid>
      <w:tr>
        <w:trPr/>
        <w:tc>
          <w:tcPr>
            <w:tcW w:w="335" w:type="dxa"/>
            <w:tcBorders/>
            <w:vAlign w:val="center"/>
          </w:tcPr>
          <w:p>
            <w:pPr>
              <w:pStyle w:val="TableContents"/>
              <w:bidi w:val="0"/>
              <w:spacing w:before="0" w:after="283"/>
              <w:jc w:val="left"/>
              <w:rPr/>
            </w:pPr>
            <w:r>
              <w:rPr/>
              <w:t>4.1</w:t>
            </w:r>
          </w:p>
        </w:tc>
        <w:tc>
          <w:tcPr>
            <w:tcW w:w="7565" w:type="dxa"/>
            <w:tcBorders/>
            <w:vAlign w:val="center"/>
          </w:tcPr>
          <w:p>
            <w:pPr>
              <w:pStyle w:val="TableContents"/>
              <w:bidi w:val="0"/>
              <w:spacing w:before="0" w:after="283"/>
              <w:jc w:val="left"/>
              <w:rPr/>
            </w:pPr>
            <w:r>
              <w:rPr/>
              <w:t>This opinion is given for the sole benefit of the persons to whom it is addressed.</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335"/>
        <w:gridCol w:w="5690"/>
      </w:tblGrid>
      <w:tr>
        <w:trPr/>
        <w:tc>
          <w:tcPr>
            <w:tcW w:w="335" w:type="dxa"/>
            <w:tcBorders/>
            <w:vAlign w:val="center"/>
          </w:tcPr>
          <w:p>
            <w:pPr>
              <w:pStyle w:val="TableContents"/>
              <w:bidi w:val="0"/>
              <w:spacing w:before="0" w:after="283"/>
              <w:jc w:val="left"/>
              <w:rPr/>
            </w:pPr>
            <w:r>
              <w:rPr/>
              <w:t>4.2</w:t>
            </w:r>
          </w:p>
        </w:tc>
        <w:tc>
          <w:tcPr>
            <w:tcW w:w="5690" w:type="dxa"/>
            <w:tcBorders/>
            <w:vAlign w:val="center"/>
          </w:tcPr>
          <w:p>
            <w:pPr>
              <w:pStyle w:val="TableContents"/>
              <w:bidi w:val="0"/>
              <w:spacing w:before="0" w:after="283"/>
              <w:jc w:val="left"/>
              <w:rPr/>
            </w:pPr>
            <w:r>
              <w:rPr/>
              <w:t>This opinion may not, without our prior written consent, be:</w:t>
            </w:r>
          </w:p>
        </w:tc>
      </w:tr>
    </w:tbl>
    <w:p>
      <w:pPr>
        <w:pStyle w:val="TextBody"/>
        <w:bidi w:val="0"/>
        <w:spacing w:before="0" w:after="0"/>
        <w:ind w:left="1605" w:right="0" w:hanging="72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7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865" w:type="dxa"/>
            <w:tcBorders/>
            <w:vAlign w:val="center"/>
          </w:tcPr>
          <w:p>
            <w:pPr>
              <w:pStyle w:val="TableContents"/>
              <w:bidi w:val="0"/>
              <w:spacing w:before="0" w:after="283"/>
              <w:jc w:val="left"/>
              <w:rPr/>
            </w:pPr>
            <w:r>
              <w:rPr/>
              <w:t>filed with any government agency or quoted or referred to in a public document; or</w:t>
            </w:r>
          </w:p>
        </w:tc>
      </w:tr>
    </w:tbl>
    <w:p>
      <w:pPr>
        <w:pStyle w:val="TextBody"/>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9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375" w:type="dxa"/>
            <w:tcBorders/>
            <w:vAlign w:val="center"/>
          </w:tcPr>
          <w:p>
            <w:pPr>
              <w:pStyle w:val="TableContents"/>
              <w:bidi w:val="0"/>
              <w:spacing w:before="0" w:after="283"/>
              <w:jc w:val="left"/>
              <w:rPr/>
            </w:pPr>
            <w:r>
              <w:rPr/>
              <w:t>disclosed to anyone else,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that it may be disclosed on a need-to-know basis:</w:t>
      </w:r>
    </w:p>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3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t>if required by law, regulation or by any regulator or in accordance with an official directive;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in connection with any litigation or proposed litigation in relation to the Re-domiciliation, provided that such persons to whom this opinion was disclosed pursuant to this paragraph 4.2(b) may not rely on it and no such person may provide a copy of this opinion to any other person.</w:t>
            </w:r>
          </w:p>
        </w:tc>
      </w:tr>
    </w:tbl>
    <w:p>
      <w:pPr>
        <w:pStyle w:val="TextBody"/>
        <w:bidi w:val="0"/>
        <w:spacing w:before="0" w:after="0"/>
        <w:ind w:left="885" w:right="27"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28675" cy="523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2"/>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For the avoidance of doubt, we do not assume responsibility for updating this opinion as of any date subsequent to the date of this opinion, and assume no responsibility for advising you of any changes with respect to any matters described in this opinion that may occur subsequent to the date of this opinion or from the discovery subsequent to the date of this opinion of information not previously known to us pertaining to the events occurring on or prior to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4.4</w:t>
            </w:r>
          </w:p>
        </w:tc>
        <w:tc>
          <w:tcPr>
            <w:tcW w:w="9870" w:type="dxa"/>
            <w:tcBorders/>
            <w:vAlign w:val="center"/>
          </w:tcPr>
          <w:p>
            <w:pPr>
              <w:pStyle w:val="TableContents"/>
              <w:bidi w:val="0"/>
              <w:spacing w:before="0" w:after="283"/>
              <w:jc w:val="both"/>
              <w:rPr/>
            </w:pPr>
            <w:r>
              <w:rPr/>
              <w:t>This opinion is strictly limited to the matters stated in it and does not apply by implication to other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4.5</w:t>
            </w:r>
          </w:p>
        </w:tc>
        <w:tc>
          <w:tcPr>
            <w:tcW w:w="9870" w:type="dxa"/>
            <w:tcBorders/>
            <w:vAlign w:val="center"/>
          </w:tcPr>
          <w:p>
            <w:pPr>
              <w:pStyle w:val="TableContents"/>
              <w:bidi w:val="0"/>
              <w:spacing w:before="0" w:after="283"/>
              <w:jc w:val="both"/>
              <w:rPr/>
            </w:pPr>
            <w:r>
              <w:rPr/>
              <w:t>This opinion is given only in respect of the laws of Singapore which are in force on the date of this opinion and this opinion is to be governed and interpreted in accordance with such laws and the courts of Singapore have exclusive jurisdiction to settle any dispute or claim arising out of or in connection herewith (including any non-contractual disputes or claims).</w:t>
            </w:r>
          </w:p>
        </w:tc>
      </w:tr>
    </w:tbl>
    <w:p>
      <w:pPr>
        <w:pStyle w:val="TextBody"/>
        <w:bidi w:val="0"/>
        <w:spacing w:before="0" w:after="0"/>
        <w:ind w:left="885" w:right="21" w:hanging="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RAJAH &amp; TANN SINGAPORE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RAJAH &amp; TANN SINGAPORE LLP</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Abdul Jabbar</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Deputy Managing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6232 0645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abdul.jabbar@rajahtann.com</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ind w:left="14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3"/>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For the purpose of giving this opinion, we have assumed (without making any investigation)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the Deposit Agreement (i) is within the respective capacities and powers of and has been duly authorised by each of the parties thereto; (ii) is validly executed and duly delivered by each party thereto; and (iii) is legal, valid, binding and enforceable in accordance with its respective terms under all relevant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all consents, approvals, authorisations or orders required of the Cayman Company under the Deposit Agreement for the Re-domiciliation have been obtained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all consents, approvals, authorisations or orders required of the Cayman Company from any governmental authorities for the deposit of the Deposited Shares with the Depositary against issuance of the ADSs and the listing of the ADSs on The Nasdaq Stock Market prior to the Re-domiciliation have been obtained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there are no provisions of the laws of any jurisdiction outside of Singapore which would have any implication for the opinions we express, and insofar as the laws of any jurisdiction outside of Singapore may be relevant, such laws have been or will be complied 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both"/>
              <w:rPr/>
            </w:pPr>
            <w:r>
              <w:rPr/>
              <w:t>all documents submitted to us in electronic form or via facsimile transmission or as photocopies or other copies of originals conform to the originals and all such originals are authentic and complete; and</w:t>
            </w:r>
          </w:p>
        </w:tc>
      </w:tr>
    </w:tbl>
    <w:p>
      <w:pPr>
        <w:pStyle w:val="TextBody"/>
        <w:bidi w:val="0"/>
        <w:spacing w:before="0" w:after="0"/>
        <w:ind w:left="0" w:right="0" w:hanging="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4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both"/>
              <w:rPr/>
            </w:pPr>
            <w:r>
              <w:rPr/>
              <w:t>the statutory registers submitted to us for examination are true, complete and up-to-date copies.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The making of the above assumptions does not imply that we have made any enquiry to verify any assumption (other than as expressly stated in this opinion). No assumption specified above is limited by reference to any other assumption.</w:t>
            </w:r>
          </w:p>
        </w:tc>
      </w:tr>
    </w:tbl>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ind w:left="14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4"/>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We have made no investigation into, and do not express or imply any views on, the laws of any country other than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both"/>
              <w:rPr/>
            </w:pPr>
            <w:r>
              <w:rPr/>
              <w:t>Except as may be expressly described herein, we have not undertaken any independent investigation or inquiry whatsoever to determine the existence or absence of any facts and no inference as to our knowledge of the existence or absence of such facts should be drawn from our serving as counsel in giving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t>No qualification specified above or any other part of this opinion is limited by reference to any other qualification.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481202ex23-1.htm"/>
      <w:bookmarkStart w:id="32" w:name="ksea030481202ex231"/>
      <w:bookmarkEnd w:id="31"/>
      <w:bookmarkEnd w:id="32"/>
      <w:r>
        <w:rPr>
          <w:rFonts w:ascii="Times New Roman;Times;Serif" w:hAnsi="Times New Roman;Times;Serif"/>
          <w:b/>
          <w:i w:val="false"/>
          <w:caps w:val="false"/>
          <w:smallCaps w:val="false"/>
          <w:sz w:val="20"/>
        </w:rPr>
        <w:t>Exhibit 23.1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76850" cy="4953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5"/>
                    <a:stretch>
                      <a:fillRect/>
                    </a:stretch>
                  </pic:blipFill>
                  <pic:spPr bwMode="auto">
                    <a:xfrm>
                      <a:off x="0" y="0"/>
                      <a:ext cx="5276850" cy="495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the Post-Effective Amendment No.1 to Registration Statement on Form F-3 of Adlai Nortye Group Ltd. (formerly known as “Adlai Nortye Ltd.”) of our report dated April 10, 2026, relating to the consolidated financial statements of Adlai Nortye Group Ltd. (the Company) appearing in the Company’s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China Shu Lun Pan Certified Public Accountants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3" w:name="ea030481202ex23-2.htm"/>
      <w:bookmarkStart w:id="34" w:name="ksea030481202ex232"/>
      <w:bookmarkEnd w:id="33"/>
      <w:bookmarkEnd w:id="34"/>
      <w:r>
        <w:rPr>
          <w:rFonts w:ascii="Times New Roman;Times;Serif" w:hAnsi="Times New Roman;Times;Serif"/>
          <w:b/>
          <w:i w:val="false"/>
          <w:caps w:val="false"/>
          <w:smallCaps w:val="false"/>
          <w:sz w:val="20"/>
        </w:rPr>
        <w:t xml:space="preserve">Exhibit 23.2 </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of Adlai Nortye Group Ltd. (formerly known as Adlai Nortye Ltd.) on Form F-3 Amendment No.1 (File No. 333-294173) of our report dated April 19, 2024, on the consolidated statements of operations and comprehensive loss, changes in shareholders’ equity, and cash flows of Adlai Nortye Group Ltd. for the year ended December 31, 2023, which appears in the Annual Report on Form 20-F of Adlai Nortye Group Ltd. for the year ended December 31, 2025. We also consent to the reference to our Firm under the caption “Experts” in the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Mazars USA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ix?doc=/Archives/edgar/data/1944552/000121390026042520/ea0282593-20f_adlai.htm" TargetMode="External"/><Relationship Id="rId14" Type="http://schemas.openxmlformats.org/officeDocument/2006/relationships/hyperlink" Target="https://www.sec.gov/Archives/edgar/data/1944552/000121390026044374/ea0286460-6k_adlai.htm" TargetMode="External"/><Relationship Id="rId15" Type="http://schemas.openxmlformats.org/officeDocument/2006/relationships/hyperlink" Target="https://www.sec.gov/Archives/edgar/data/1944552/000121390026078874/ea0298278-6k_adlai.htm" TargetMode="External"/><Relationship Id="rId16" Type="http://schemas.openxmlformats.org/officeDocument/2006/relationships/hyperlink" Target="https://www.sec.gov/Archives/edgar/data/1944552/000121390026084256/ea0299478-6k_adlai.htm" TargetMode="External"/><Relationship Id="rId17" Type="http://schemas.openxmlformats.org/officeDocument/2006/relationships/hyperlink" Target="https://www.sec.gov/Archives/edgar/data/1944552/000121390026089447/ea0301517-6k_adlai.htm" TargetMode="External"/><Relationship Id="rId18" Type="http://schemas.openxmlformats.org/officeDocument/2006/relationships/hyperlink" Target="https://www.sec.gov/Archives/edgar/data/1944552/000121390026091426/ea0299686-6k_adlai.htm" TargetMode="External"/><Relationship Id="rId19" Type="http://schemas.openxmlformats.org/officeDocument/2006/relationships/hyperlink" Target="https://www.sec.gov/Archives/edgar/data/1944552/000121390026093761/ea0302914-01.htm" TargetMode="External"/><Relationship Id="rId20" Type="http://schemas.openxmlformats.org/officeDocument/2006/relationships/hyperlink" Target="https://www.sec.gov/Archives/edgar/data/1944552/000121390026097850/ea0304801-6k_adlai.htm" TargetMode="External"/><Relationship Id="rId21" Type="http://schemas.openxmlformats.org/officeDocument/2006/relationships/hyperlink" Target="https://www.sec.gov/Archives/edgar/data/1944552/000110465923088016/tm2225088d25_8a12b.htm" TargetMode="External"/><Relationship Id="rId22" Type="http://schemas.openxmlformats.org/officeDocument/2006/relationships/hyperlink" Target="https://www.sec.gov/Archives/edgar/data/1944552/000110465923093373/tm2225088d37_8a12b.htm" TargetMode="External"/><Relationship Id="rId23" Type="http://schemas.openxmlformats.org/officeDocument/2006/relationships/hyperlink" Target="https://www.sec.gov/Archives/edgar/data/1944552/000110465923084478/tm2225088-21_f1.htm" TargetMode="External"/><Relationship Id="rId24" Type="http://schemas.openxmlformats.org/officeDocument/2006/relationships/hyperlink" Target="https://www.sec.gov/Archives/edgar/data/1944552/000121390026091426/ea029968601ex99-1.htm" TargetMode="External"/><Relationship Id="rId25" Type="http://schemas.openxmlformats.org/officeDocument/2006/relationships/hyperlink" Target="http://www.sec.gov/Archives/edgar/data/1944552/000110465923089790/tm2225088d26_ex4-3.htm" TargetMode="External"/><Relationship Id="rId26" Type="http://schemas.openxmlformats.org/officeDocument/2006/relationships/hyperlink" Target="http://www.sec.gov/Archives/edgar/data/1944552/000110465923089790/tm2225088d26_ex4-3.htm" TargetMode="External"/><Relationship Id="rId27" Type="http://schemas.openxmlformats.org/officeDocument/2006/relationships/hyperlink" Target="https://www.sec.gov/ix?doc=/Archives/edgar/data/1944552/000121390026046843/ea028182401ex-fee.htm" TargetMode="External"/><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2.jpeg"/><Relationship Id="rId31" Type="http://schemas.openxmlformats.org/officeDocument/2006/relationships/image" Target="media/image12.jpeg"/><Relationship Id="rId32" Type="http://schemas.openxmlformats.org/officeDocument/2006/relationships/image" Target="media/image12.jpeg"/><Relationship Id="rId33" Type="http://schemas.openxmlformats.org/officeDocument/2006/relationships/image" Target="media/image12.jpeg"/><Relationship Id="rId34" Type="http://schemas.openxmlformats.org/officeDocument/2006/relationships/image" Target="media/image12.jpeg"/><Relationship Id="rId35" Type="http://schemas.openxmlformats.org/officeDocument/2006/relationships/image" Target="media/image1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68231</Words>
  <Characters>355055</Characters>
  <CharactersWithSpaces>423398</CharactersWithSpaces>
  <Paragraphs>4776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