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001-41773</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PO Box 309, Ugland House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1" w:lineRule="exact"/>
        <w:rPr>
          <w:sz w:val="24"/>
          <w:szCs w:val="24"/>
          <w:color w:val="auto"/>
        </w:rPr>
      </w:pPr>
    </w:p>
    <w:p>
      <w:pPr>
        <w:jc w:val="center"/>
        <w:ind w:right="19"/>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177165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202565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643255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1" w:name="page2"/>
    <w:bookmarkEnd w:id="1"/>
    <w:p>
      <w:pPr>
        <w:ind w:left="5200"/>
        <w:spacing w:after="0"/>
        <w:rPr>
          <w:sz w:val="20"/>
          <w:szCs w:val="20"/>
          <w:color w:val="auto"/>
        </w:rPr>
      </w:pPr>
      <w:r>
        <w:rPr>
          <w:rFonts w:ascii="Times New Roman" w:cs="Times New Roman" w:eastAsia="Times New Roman" w:hAnsi="Times New Roman"/>
          <w:sz w:val="18"/>
          <w:szCs w:val="18"/>
          <w:u w:val="single" w:color="auto"/>
          <w:color w:val="auto"/>
        </w:rPr>
        <w:t>CONTENT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Adlai Nortye Ltd. (the “Company”) Reports Unaudited First Half 2025 Financial Results and Highlights Recent Operational Progress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Highlights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3143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60"/>
          </w:cols>
          <w:pgMar w:left="320" w:top="895" w:right="1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AN8025</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AN8025 is a next-generation tri-specific antibody fusion protein derived from an approved αPD-L1 antibody and fused with functionally optimized CD86 variant and LAG3 variant. Designed to modulate T cell and antigen-presenting cell (APC) functions, preclinical studies have demonstrated that AN8025 enhances both the quantity and quality of APCs while also inducing robust PD-L1-dependent T cell activation and anti-tumor efficacy in vivo. The clinical phase I study of AN8025 is currently ongoing.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AN9025</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AN9025 is an oral small molecule pan-RAS(ON) inhibitor with best-in-class potential, designed to target a broad spectrum of RAS mutations across various tumor types. Preclinical studies have demonstrated that AN9025 effectively inhibits RAS-mutant cancers with potent and durable efficacy, including pancreatic, lung, and colorectal adenocarcinomas, and shows comparable or superior results relative to a benchmark agent of the same class. The Company expects to initiate the phase I clinical study in the first quarter of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AN4035</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AN4035 is a proprietary CEACAM5-targeting antibody drug conjugate (ADC) designed to deliver potent anti-tumor activity with an improved therapeutic window. It is armed with highly potent pan-RAS(ON) inhibitor payload, which effectively target a broad spectrum of CEACAM5-expressing, RAS-driven cancers. The Company expects to submit IND in the middle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AN4005</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AN4005 is an orally available, small-molecule PD-L1 inhibitor that demonstrates antitumor activity by the blockade of PD-1/PD-L1 interaction. Preliminary results from the Dose-Escalation Phase, presented at SITC 2024, demonstrated that AN4005 exhibits favorable safety and tolerability in patients with advanced tumors. Encouraging preliminary efficacy was observed in a tumor type known to respond to anti-PD-(L)1 therapy. The trial has now advanced to the Expansion Phase, evaluating two doses of AN4005 in checkpoint inhibitor-naïve patients. Proof-of-concept data from the Expansion Phase is expected to be presented in a conference in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AN0025</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AN0025 is a small molecule EP4 antagonist designed to modulate the tumor microenvironment. In the phase Ib study of preoperative AN0025 and radiotherapy/chemoradiotherapy combination in rectum cancer, preliminary efficacy results (20% clinical complete response (cCR) and 16% pathologic complete response (pCR)) are encouraging. ARTEMIS (Augmenting RadioTherapy in REctal Cancer to Minimise Invasive Surgery) phase II study of preoperative AN0025 and radiotherapy/chemoradiotherapy combination in rectum cancer is ongoing. The futility analysis result is expected by the first quarter of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w:t>
      </w:r>
      <w:r>
        <w:rPr>
          <w:rFonts w:ascii="Times New Roman" w:cs="Times New Roman" w:eastAsia="Times New Roman" w:hAnsi="Times New Roman"/>
          <w:sz w:val="18"/>
          <w:szCs w:val="18"/>
          <w:b w:val="1"/>
          <w:bCs w:val="1"/>
          <w:i w:val="1"/>
          <w:iCs w:val="1"/>
          <w:color w:val="auto"/>
        </w:rPr>
        <w:t>ig</w:t>
      </w:r>
      <w:r>
        <w:rPr>
          <w:rFonts w:ascii="Times New Roman" w:cs="Times New Roman" w:eastAsia="Times New Roman" w:hAnsi="Times New Roman"/>
          <w:sz w:val="18"/>
          <w:szCs w:val="18"/>
          <w:b w:val="1"/>
          <w:bCs w:val="1"/>
          <w:i w:val="1"/>
          <w:iCs w:val="1"/>
          <w:u w:val="single" w:color="auto"/>
          <w:color w:val="auto"/>
        </w:rPr>
        <w:t>hl</w:t>
      </w:r>
      <w:r>
        <w:rPr>
          <w:rFonts w:ascii="Times New Roman" w:cs="Times New Roman" w:eastAsia="Times New Roman" w:hAnsi="Times New Roman"/>
          <w:sz w:val="18"/>
          <w:szCs w:val="18"/>
          <w:b w:val="1"/>
          <w:bCs w:val="1"/>
          <w:i w:val="1"/>
          <w:iCs w:val="1"/>
          <w:color w:val="auto"/>
        </w:rPr>
        <w:t>ig</w:t>
      </w:r>
      <w:r>
        <w:rPr>
          <w:rFonts w:ascii="Times New Roman" w:cs="Times New Roman" w:eastAsia="Times New Roman" w:hAnsi="Times New Roman"/>
          <w:sz w:val="18"/>
          <w:szCs w:val="18"/>
          <w:b w:val="1"/>
          <w:bCs w:val="1"/>
          <w:i w:val="1"/>
          <w:iCs w:val="1"/>
          <w:u w:val="single" w:color="auto"/>
          <w:color w:val="auto"/>
        </w:rPr>
        <w:t>hts</w:t>
      </w:r>
      <w:r>
        <w:rPr>
          <w:rFonts w:ascii="Times New Roman" w:cs="Times New Roman" w:eastAsia="Times New Roman" w:hAnsi="Times New Roman"/>
          <w:sz w:val="18"/>
          <w:szCs w:val="18"/>
          <w:b w:val="1"/>
          <w:bCs w:val="1"/>
          <w:i w:val="1"/>
          <w:iCs w:val="1"/>
          <w:color w:val="auto"/>
        </w:rPr>
        <w:t xml:space="preserve"> f</w:t>
      </w:r>
      <w:r>
        <w:rPr>
          <w:rFonts w:ascii="Times New Roman" w:cs="Times New Roman" w:eastAsia="Times New Roman" w:hAnsi="Times New Roman"/>
          <w:sz w:val="18"/>
          <w:szCs w:val="18"/>
          <w:b w:val="1"/>
          <w:bCs w:val="1"/>
          <w:i w:val="1"/>
          <w:iCs w:val="1"/>
          <w:u w:val="single" w:color="auto"/>
          <w:color w:val="auto"/>
        </w:rPr>
        <w:t>or the Six Month Period Ended June 30, 2025</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accordance with IFRS as issued by the International Accounting Standard Board (IASB). The consolidated financial statements are presented in US dollars, the Company’s functional and presentation currency.</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June 30, 2025, cash and cash equivalents totaled US$44.1 million compared to US$60.9 million on December 31, 2024. As of June 30, 2025, restricted cash totaled US$18.2 million compared to nil on December 31,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spacing w:after="0" w:line="277"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US$15.1 million, compared to US$28.4 million for the six months ended June 30, 2024.</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decreased by 41.4% from US$26.0 million for the six months ended June 30, 2024 to US$15.2 million for the six months ended June 30, 2025. The decrease was primarily because the Company’s current projects are still at relatively early stages compared to the same period last year, resulting in lower service fees incurred to date.</w:t>
      </w:r>
    </w:p>
    <w:p>
      <w:pPr>
        <w:spacing w:after="0" w:line="17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General and administrative expenses decreased by 13.8% from US$4.7 million for the six months ended June 30, 2024 to US$4.1 million for the six months ended June 30, 2025, primarily attributable to a decrease in share-based compensation expenses resulting from the vesting schedule of certain stock options.</w:t>
      </w:r>
    </w:p>
    <w:p>
      <w:pPr>
        <w:spacing w:after="0" w:line="14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Other gains decreased by 45% from US$2.6 million for the six months ended June 30, 2024 to US$1.4 million for the six months ended June 30, 2025, primarily attributable to a reduction in government grants received in 2025.</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For the reasons described above, the Company’s net loss for the period ended June 30, 2025 decreased by 33.6% from US$27.7 million for the six months ended June 30, 2024 to US$18.3 million for the six months ended June 30,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Adlai Nortye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Adlai Nortye (NASDAQ: ANL) is a global clinical-stage company at the forefront of discovering and developing innovative cancer therapies. Leveraging our dual R&amp;D presence in the U.S. and China, we are building a robust pipeline of drug candidates focused on two key areas where we believe we can make a significant difference. (1) Next-generation cancer immunotherapies: our candidates, AN8025 (a tri-functional fusion protein of αPD-L1 x CD86 variant x LAG3 variant), a T-cell and antigen-presenting cell modulator, and AN4005 (a first-in-class oral small-molecule PD-L1 inhibitor), are designed to activate cancer immunity in novel ways. (2) RAS-targeting therapies: we are tackling RAS-driven cancers with AN9025, an oral pan-RAS(ON) inhibitor, and AN4035, a CEACAM5-targeting ADC delivering a potent pan-RAS(ON) inhibitor directly to tumors.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announcement and in the attachments is as of the date of this announcement, and the Company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ir@adlainortye.com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Pr>
          <w:p>
            <w:pPr>
              <w:spacing w:after="0"/>
              <w:rPr>
                <w:sz w:val="21"/>
                <w:szCs w:val="21"/>
                <w:color w:val="auto"/>
              </w:rPr>
            </w:pPr>
          </w:p>
        </w:tc>
        <w:tc>
          <w:tcPr>
            <w:tcW w:w="2580" w:type="dxa"/>
            <w:vAlign w:val="bottom"/>
            <w:gridSpan w:val="4"/>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866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402"/>
              <w:spacing w:after="0" w:line="19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top w:val="single" w:sz="8" w:color="auto"/>
            </w:tcBorders>
          </w:tcPr>
          <w:p>
            <w:pPr>
              <w:jc w:val="right"/>
              <w:ind w:right="151"/>
              <w:spacing w:after="0" w:line="19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1,490</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(4,717)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(26,016)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2,575</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profits of investments accounted for using the equity method</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financial liabilities at FVTPL</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(27,612)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(18,335)</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Attributable to:</w:t>
            </w: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Ordinary Equity Holders of the Parent</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(27,612)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 of the financial statements of subsidiaries</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loss for the period, net of tax</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(27,704</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Ordinary Equity Holders of the Parent</w:t>
            </w:r>
          </w:p>
        </w:tc>
        <w:tc>
          <w:tcPr>
            <w:tcW w:w="13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(27,704)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LOSS PER SHARE ATTRIBUTABLE TO ORDINARY EQUITY HOLDERS OF THE PARENT</w:t>
            </w: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 ($ per share)</w:t>
            </w:r>
          </w:p>
        </w:tc>
        <w:tc>
          <w:tcPr>
            <w:tcW w:w="1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(0.35)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78,385,007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95,862,790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86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43"/>
        </w:trPr>
        <w:tc>
          <w:tcPr>
            <w:tcW w:w="55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3"/>
        </w:trPr>
        <w:tc>
          <w:tcPr>
            <w:tcW w:w="5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100" w:type="dxa"/>
            <w:vAlign w:val="bottom"/>
          </w:tcPr>
          <w:p>
            <w:pPr>
              <w:spacing w:after="0"/>
              <w:rPr>
                <w:sz w:val="18"/>
                <w:szCs w:val="18"/>
                <w:color w:val="auto"/>
              </w:rPr>
            </w:pP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(28,371)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(15,121)</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4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27,514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(18,181)</w:t>
            </w: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4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16,584</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NET INCREASE/(DECREASE) IN CASH AND CASH EQUIVALENTS</w:t>
            </w:r>
          </w:p>
        </w:tc>
        <w:tc>
          <w:tcPr>
            <w:tcW w:w="4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(16,718)</w:t>
            </w: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4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60,902</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net</w:t>
            </w:r>
          </w:p>
        </w:tc>
        <w:tc>
          <w:tcPr>
            <w:tcW w:w="4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4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97,980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44,218</w:t>
            </w:r>
          </w:p>
        </w:tc>
      </w:tr>
      <w:tr>
        <w:trPr>
          <w:trHeight w:val="647"/>
        </w:trPr>
        <w:tc>
          <w:tcPr>
            <w:tcW w:w="55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2911"/>
              <w:spacing w:after="0"/>
              <w:rPr>
                <w:sz w:val="20"/>
                <w:szCs w:val="20"/>
                <w:color w:val="auto"/>
              </w:rPr>
            </w:pPr>
            <w:r>
              <w:rPr>
                <w:rFonts w:ascii="Times New Roman" w:cs="Times New Roman" w:eastAsia="Times New Roman" w:hAnsi="Times New Roman"/>
                <w:sz w:val="18"/>
                <w:szCs w:val="18"/>
                <w:color w:val="auto"/>
                <w:w w:val="88"/>
              </w:rPr>
              <w:t>5</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Pr>
          <w:p>
            <w:pPr>
              <w:spacing w:after="0"/>
              <w:rPr>
                <w:sz w:val="21"/>
                <w:szCs w:val="21"/>
                <w:color w:val="auto"/>
              </w:rPr>
            </w:pPr>
          </w:p>
        </w:tc>
        <w:tc>
          <w:tcPr>
            <w:tcW w:w="15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660" w:type="dxa"/>
            <w:vAlign w:val="bottom"/>
          </w:tcPr>
          <w:p>
            <w:pPr>
              <w:spacing w:after="0"/>
              <w:rPr>
                <w:sz w:val="16"/>
                <w:szCs w:val="16"/>
                <w:color w:val="auto"/>
              </w:rPr>
            </w:pPr>
          </w:p>
        </w:tc>
        <w:tc>
          <w:tcPr>
            <w:tcW w:w="152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jc w:val="right"/>
              <w:ind w:right="151"/>
              <w:spacing w:after="0" w:line="19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44,138</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18,240</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other receivables and other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-related party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64,064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65,477</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other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Long-term equity investments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at amortized cost</w:t>
            </w:r>
          </w:p>
        </w:tc>
        <w:tc>
          <w:tcPr>
            <w:tcW w:w="1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7,206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6,568</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71,270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72,045</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9,678</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bank borrowings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44,053</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45,360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63,867</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w:t>
            </w:r>
          </w:p>
        </w:tc>
        <w:tc>
          <w:tcPr>
            <w:tcW w:w="0" w:type="dxa"/>
            <w:vAlign w:val="bottom"/>
          </w:tcPr>
          <w:p>
            <w:pPr>
              <w:spacing w:after="0"/>
              <w:rPr>
                <w:sz w:val="1"/>
                <w:szCs w:val="1"/>
                <w:color w:val="auto"/>
              </w:rPr>
            </w:pPr>
          </w:p>
        </w:tc>
      </w:tr>
      <w:tr>
        <w:trPr>
          <w:trHeight w:val="23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45,785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6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Class A Ordinary shares (par value of $0.0001 per share; 93,710,803 shares outstanding as of December 31, 2024 and</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5"/>
        </w:trPr>
        <w:tc>
          <w:tcPr>
            <w:tcW w:w="8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Class B Ordinary shares (par value of $0.0001 per share; 16,990,000 shares outstanding as of December 31, 2024 and</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439,173</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payments reserve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20,843</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fluctuation reserve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(429,318)</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(447,653)</w:t>
            </w:r>
          </w:p>
        </w:tc>
        <w:tc>
          <w:tcPr>
            <w:tcW w:w="0" w:type="dxa"/>
            <w:vAlign w:val="bottom"/>
          </w:tcPr>
          <w:p>
            <w:pPr>
              <w:spacing w:after="0"/>
              <w:rPr>
                <w:sz w:val="1"/>
                <w:szCs w:val="1"/>
                <w:color w:val="auto"/>
              </w:rPr>
            </w:pPr>
          </w:p>
        </w:tc>
      </w:tr>
      <w:tr>
        <w:trPr>
          <w:trHeight w:val="23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25,485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71,270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72,045</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86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99"/>
              </w:rPr>
              <w:t>Attributable to owners of the parent</w:t>
            </w: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220" w:type="dxa"/>
            <w:vAlign w:val="bottom"/>
          </w:tcPr>
          <w:p>
            <w:pPr>
              <w:spacing w:after="0"/>
              <w:rPr>
                <w:sz w:val="16"/>
                <w:szCs w:val="16"/>
                <w:color w:val="auto"/>
              </w:rPr>
            </w:pPr>
          </w:p>
        </w:tc>
        <w:tc>
          <w:tcPr>
            <w:tcW w:w="136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142"/>
              <w:spacing w:after="0" w:line="191" w:lineRule="exact"/>
              <w:rPr>
                <w:sz w:val="20"/>
                <w:szCs w:val="20"/>
                <w:color w:val="auto"/>
              </w:rPr>
            </w:pPr>
            <w:r>
              <w:rPr>
                <w:rFonts w:ascii="Times New Roman" w:cs="Times New Roman" w:eastAsia="Times New Roman" w:hAnsi="Times New Roman"/>
                <w:sz w:val="18"/>
                <w:szCs w:val="18"/>
                <w:b w:val="1"/>
                <w:bCs w:val="1"/>
                <w:color w:val="auto"/>
                <w:w w:val="98"/>
              </w:rPr>
              <w:t>Exchange</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4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fluctuation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94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reserve</w:t>
            </w:r>
          </w:p>
        </w:tc>
        <w:tc>
          <w:tcPr>
            <w:tcW w:w="1320" w:type="dxa"/>
            <w:vAlign w:val="bottom"/>
            <w:gridSpan w:val="2"/>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deficits</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40" w:type="dxa"/>
            <w:vAlign w:val="bottom"/>
            <w:tcBorders>
              <w:top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2024</w:t>
            </w: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438,707</w:t>
            </w:r>
          </w:p>
        </w:tc>
        <w:tc>
          <w:tcPr>
            <w:tcW w:w="15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18,018</w:t>
            </w:r>
          </w:p>
        </w:tc>
        <w:tc>
          <w:tcPr>
            <w:tcW w:w="1320" w:type="dxa"/>
            <w:vAlign w:val="bottom"/>
            <w:gridSpan w:val="2"/>
            <w:shd w:val="clear" w:color="auto" w:fill="CCEEFF"/>
          </w:tcPr>
          <w:p>
            <w:pPr>
              <w:jc w:val="right"/>
              <w:ind w:right="122"/>
              <w:spacing w:after="0" w:line="160" w:lineRule="exact"/>
              <w:rPr>
                <w:sz w:val="20"/>
                <w:szCs w:val="20"/>
                <w:color w:val="auto"/>
              </w:rPr>
            </w:pPr>
            <w:r>
              <w:rPr>
                <w:rFonts w:ascii="Times New Roman" w:cs="Times New Roman" w:eastAsia="Times New Roman" w:hAnsi="Times New Roman"/>
                <w:sz w:val="18"/>
                <w:szCs w:val="18"/>
                <w:color w:val="auto"/>
              </w:rPr>
              <w:t>(4,241</w:t>
            </w:r>
          </w:p>
        </w:tc>
        <w:tc>
          <w:tcPr>
            <w:tcW w:w="11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8"/>
                <w:szCs w:val="18"/>
                <w:color w:val="auto"/>
              </w:rPr>
              <w:t>(373,092</w:t>
            </w:r>
          </w:p>
        </w:tc>
        <w:tc>
          <w:tcPr>
            <w:tcW w:w="2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00"/>
              <w:spacing w:after="0" w:line="160" w:lineRule="exact"/>
              <w:rPr>
                <w:sz w:val="20"/>
                <w:szCs w:val="20"/>
                <w:color w:val="auto"/>
              </w:rPr>
            </w:pPr>
            <w:r>
              <w:rPr>
                <w:rFonts w:ascii="Times New Roman" w:cs="Times New Roman" w:eastAsia="Times New Roman" w:hAnsi="Times New Roman"/>
                <w:sz w:val="18"/>
                <w:szCs w:val="18"/>
                <w:color w:val="auto"/>
              </w:rPr>
              <w:t>79,403</w:t>
            </w:r>
          </w:p>
        </w:tc>
        <w:tc>
          <w:tcPr>
            <w:tcW w:w="0" w:type="dxa"/>
            <w:vAlign w:val="bottom"/>
          </w:tcPr>
          <w:p>
            <w:pPr>
              <w:spacing w:after="0"/>
              <w:rPr>
                <w:sz w:val="1"/>
                <w:szCs w:val="1"/>
                <w:color w:val="auto"/>
              </w:rPr>
            </w:pPr>
          </w:p>
        </w:tc>
      </w:tr>
      <w:tr>
        <w:trPr>
          <w:trHeight w:val="100"/>
        </w:trPr>
        <w:tc>
          <w:tcPr>
            <w:tcW w:w="4220" w:type="dxa"/>
            <w:vAlign w:val="bottom"/>
            <w:gridSpan w:val="2"/>
            <w:vMerge w:val="continue"/>
            <w:shd w:val="clear" w:color="auto" w:fill="CCEEFF"/>
          </w:tcPr>
          <w:p>
            <w:pPr>
              <w:spacing w:after="0"/>
              <w:rPr>
                <w:sz w:val="8"/>
                <w:szCs w:val="8"/>
                <w:color w:val="auto"/>
              </w:rPr>
            </w:pPr>
          </w:p>
        </w:tc>
        <w:tc>
          <w:tcPr>
            <w:tcW w:w="420" w:type="dxa"/>
            <w:vAlign w:val="bottom"/>
            <w:gridSpan w:val="2"/>
            <w:vMerge w:val="continue"/>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580" w:type="dxa"/>
            <w:vAlign w:val="bottom"/>
            <w:gridSpan w:val="3"/>
            <w:vMerge w:val="continue"/>
            <w:shd w:val="clear" w:color="auto" w:fill="CCEEFF"/>
          </w:tcPr>
          <w:p>
            <w:pPr>
              <w:spacing w:after="0"/>
              <w:rPr>
                <w:sz w:val="8"/>
                <w:szCs w:val="8"/>
                <w:color w:val="auto"/>
              </w:rPr>
            </w:pPr>
          </w:p>
        </w:tc>
        <w:tc>
          <w:tcPr>
            <w:tcW w:w="1320" w:type="dxa"/>
            <w:vAlign w:val="bottom"/>
            <w:gridSpan w:val="2"/>
            <w:shd w:val="clear" w:color="auto" w:fill="CCEEFF"/>
          </w:tcPr>
          <w:p>
            <w:pPr>
              <w:jc w:val="right"/>
              <w:ind w:right="62"/>
              <w:spacing w:after="0" w:line="80" w:lineRule="exact"/>
              <w:rPr>
                <w:sz w:val="20"/>
                <w:szCs w:val="20"/>
                <w:color w:val="auto"/>
              </w:rPr>
            </w:pPr>
            <w:r>
              <w:rPr>
                <w:rFonts w:ascii="Times New Roman" w:cs="Times New Roman" w:eastAsia="Times New Roman" w:hAnsi="Times New Roman"/>
                <w:sz w:val="9"/>
                <w:szCs w:val="9"/>
                <w:color w:val="auto"/>
              </w:rPr>
              <w:t>)</w:t>
            </w:r>
          </w:p>
        </w:tc>
        <w:tc>
          <w:tcPr>
            <w:tcW w:w="1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280" w:type="dxa"/>
            <w:vAlign w:val="bottom"/>
            <w:tcBorders>
              <w:top w:val="single" w:sz="8" w:color="CCEEFF"/>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rPr>
              <w:t>Loss for the period</w:t>
            </w: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(27,612)</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(27,612)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for the</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rPr>
              <w:t>Exchange differences on translation of</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financial statements of subsidiaries</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7"/>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47"/>
        </w:trPr>
        <w:tc>
          <w:tcPr>
            <w:tcW w:w="328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color w:val="auto"/>
              </w:rPr>
              <w:t>At June 30, 2024</w:t>
            </w: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w w:val="77"/>
              </w:rPr>
              <w:t>11</w:t>
            </w:r>
          </w:p>
        </w:tc>
        <w:tc>
          <w:tcPr>
            <w:tcW w:w="24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438,707</w:t>
            </w:r>
          </w:p>
        </w:tc>
        <w:tc>
          <w:tcPr>
            <w:tcW w:w="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19,687</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(4,333</w:t>
            </w:r>
          </w:p>
        </w:tc>
        <w:tc>
          <w:tcPr>
            <w:tcW w:w="200" w:type="dxa"/>
            <w:vAlign w:val="bottom"/>
            <w:tcBorders>
              <w:top w:val="single" w:sz="8" w:color="CCEEFF"/>
              <w:bottom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(400,704</w:t>
            </w:r>
          </w:p>
        </w:tc>
        <w:tc>
          <w:tcPr>
            <w:tcW w:w="200" w:type="dxa"/>
            <w:vAlign w:val="bottom"/>
            <w:tcBorders>
              <w:top w:val="single" w:sz="8" w:color="CCEEFF"/>
              <w:bottom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53,368</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2025</w:t>
            </w: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439,016</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8"/>
                <w:szCs w:val="18"/>
                <w:color w:val="auto"/>
              </w:rPr>
              <w:t>(4,535</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8"/>
                <w:szCs w:val="18"/>
                <w:color w:val="auto"/>
              </w:rPr>
              <w:t>(429,318</w:t>
            </w:r>
          </w:p>
        </w:tc>
        <w:tc>
          <w:tcPr>
            <w:tcW w:w="2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8"/>
                <w:szCs w:val="18"/>
                <w:color w:val="auto"/>
              </w:rPr>
              <w:t>25,485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220" w:type="dxa"/>
            <w:vAlign w:val="bottom"/>
            <w:gridSpan w:val="2"/>
            <w:vMerge w:val="continue"/>
            <w:shd w:val="clear" w:color="auto" w:fill="CCEEFF"/>
          </w:tcPr>
          <w:p>
            <w:pPr>
              <w:spacing w:after="0"/>
              <w:rPr>
                <w:sz w:val="8"/>
                <w:szCs w:val="8"/>
                <w:color w:val="auto"/>
              </w:rPr>
            </w:pPr>
          </w:p>
        </w:tc>
        <w:tc>
          <w:tcPr>
            <w:tcW w:w="420" w:type="dxa"/>
            <w:vAlign w:val="bottom"/>
            <w:gridSpan w:val="2"/>
            <w:vMerge w:val="continue"/>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62"/>
              <w:spacing w:after="0" w:line="80" w:lineRule="exact"/>
              <w:rPr>
                <w:sz w:val="20"/>
                <w:szCs w:val="20"/>
                <w:color w:val="auto"/>
              </w:rPr>
            </w:pPr>
            <w:r>
              <w:rPr>
                <w:rFonts w:ascii="Times New Roman" w:cs="Times New Roman" w:eastAsia="Times New Roman" w:hAnsi="Times New Roman"/>
                <w:sz w:val="9"/>
                <w:szCs w:val="9"/>
                <w:color w:val="auto"/>
              </w:rPr>
              <w:t>)</w:t>
            </w:r>
          </w:p>
        </w:tc>
        <w:tc>
          <w:tcPr>
            <w:tcW w:w="1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280" w:type="dxa"/>
            <w:vAlign w:val="bottom"/>
            <w:tcBorders>
              <w:top w:val="single" w:sz="8" w:color="CCEEFF"/>
            </w:tcBorders>
          </w:tcPr>
          <w:p>
            <w:pPr>
              <w:ind w:left="160"/>
              <w:spacing w:after="0" w:line="201" w:lineRule="exact"/>
              <w:rPr>
                <w:sz w:val="20"/>
                <w:szCs w:val="20"/>
                <w:color w:val="auto"/>
              </w:rPr>
            </w:pPr>
            <w:r>
              <w:rPr>
                <w:rFonts w:ascii="Times New Roman" w:cs="Times New Roman" w:eastAsia="Times New Roman" w:hAnsi="Times New Roman"/>
                <w:sz w:val="18"/>
                <w:szCs w:val="18"/>
                <w:color w:val="auto"/>
              </w:rPr>
              <w:t>Loss for the period</w:t>
            </w: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(18,335)</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(18,335)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3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42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for the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20" w:type="dxa"/>
            <w:vAlign w:val="bottom"/>
            <w:gridSpan w:val="2"/>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Exchange differences on translation of</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financial statements of subsidiaries</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13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0"/>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2025</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(447,653</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3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24"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15875</wp:posOffset>
            </wp:positionV>
            <wp:extent cx="24911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Yang Lu</w:t>
      </w:r>
    </w:p>
    <w:p>
      <w:pPr>
        <w:spacing w:after="0" w:line="2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 of Board of</w:t>
      </w:r>
    </w:p>
    <w:p>
      <w:pPr>
        <w:spacing w:after="0" w:line="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2025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2025-12-29T05:09:44Z</dcterms:created>
  <dcterms:modified xsi:type="dcterms:W3CDTF">2025-12-29T05:09:44Z</dcterms:modified>
</cp:coreProperties>
</file>