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517-6k_adlai.htm"/>
      <w:bookmarkStart w:id="1" w:name="ksea03015176k_adlai"/>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001-41773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PO Box 309, Ugland House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KY1-1104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following report on Form 6-K shall be deemed to be incorporated by reference into the registration statements on Forms S-8 (File No. </w:t>
      </w:r>
      <w:hyperlink r:id="rId2">
        <w:r>
          <w:rPr>
            <w:rStyle w:val="InternetLink"/>
            <w:rFonts w:ascii="Times New Roman;Times;Serif" w:hAnsi="Times New Roman;Times;Serif"/>
            <w:b w:val="false"/>
            <w:i w:val="false"/>
            <w:caps w:val="false"/>
            <w:smallCaps w:val="false"/>
            <w:sz w:val="20"/>
          </w:rPr>
          <w:t>333-290280</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333-279372</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333-294173) of Adlai Nortye Ltd. (the “Company” or “Adlai Nortye”) and to be a part thereof from the date on which this Form 6-K filed, and in each instance the related prospectus, as such registration statements and prospectuses may be amended or supplemented from time to time, and to be a part thereof from the date on which this report is furnished, to the extent not superseded by documents or reports subsequently filed or furnished. This report on Form 6-K contains the Company’s unaudited first half 2026 financial results and highlights recent operational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 Reports Unaudited First Half 2026 Financial Results and Highlights Recent Operational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Enrollment ongoing in both QD and QW arms of global Phase I trial of pan-RAS(ON) inhibitor AN9025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 regulatory approval obtained for Phase I trial of pan-RAS</w:t>
      </w:r>
      <w:r>
        <w:rPr>
          <w:rFonts w:ascii="Times New Roman;Times;Serif" w:hAnsi="Times New Roman;Times;Serif"/>
          <w:b w:val="false"/>
          <w:i w:val="false"/>
          <w:caps w:val="false"/>
          <w:smallCaps w:val="false"/>
          <w:sz w:val="20"/>
        </w:rPr>
        <w:t xml:space="preserve">(ON) </w:t>
      </w:r>
      <w:r>
        <w:rPr>
          <w:rFonts w:ascii="Times New Roman;Times;Serif" w:hAnsi="Times New Roman;Times;Serif"/>
          <w:b w:val="false"/>
          <w:i/>
          <w:caps w:val="false"/>
          <w:smallCaps w:val="false"/>
          <w:sz w:val="20"/>
        </w:rPr>
        <w:t xml:space="preserve">ADC AN4035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Two leading medical oncologists appointed to Scientific Advisory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2026-08-14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Ltd. (NASDAQ: ANL) (the “Company” or “Adlai Nortye”), a clinical-stage biotechnology company focused on the development of innovative cancer therapies, today announced its business highlights and its first half financial results for the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execute well across our pipeline, with initial clinical data on track for both of our pan-RAS(ON) inhibitor-based assets in 2027,” said Yang Lu, CEO and Chairman of Adlai Nortye. “In alignment with our goal of rapidly bringing a solution to cancer patients in the U.S. and globally, we are advancing our globalization strategy by expanding our clinical development, strategic, and operational capabilities in the United States and Singapore. This expansion will help to accelerate our clinical pipeline progress and strengthen our clinical operations to support our RAS program development. We believe these efforts will support the efficient global development of our pipeline and position the Company for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Research &amp; Development (R&amp;D)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AN9025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AN9025, an oral small molecule pan-RAS(ON) inhibitor with best-in-class potential, continues to be evaluated in a global Phase I clinical trial of patients with advanced or metastatic solid tumors harboring RAS mutations.</w:t>
      </w:r>
    </w:p>
    <w:p>
      <w:pPr>
        <w:pStyle w:val="TextBody"/>
        <w:bidi w:val="0"/>
        <w:spacing w:before="0" w:after="0"/>
        <w:ind w:left="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February 2026, the first patient was dosed in the once-daily (QD) arm in the U.S.</w:t>
            </w:r>
          </w:p>
        </w:tc>
      </w:tr>
    </w:tbl>
    <w:p>
      <w:pPr>
        <w:pStyle w:val="TextBody"/>
        <w:bidi w:val="0"/>
        <w:spacing w:before="0" w:after="283"/>
        <w:jc w:val="left"/>
        <w:rPr/>
      </w:pPr>
      <w:r>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July 2026, the first patient was dosed in the intermittent once-weekly (QW) arm in the U.S.</w:t>
            </w:r>
          </w:p>
        </w:tc>
      </w:tr>
    </w:tbl>
    <w:p>
      <w:pPr>
        <w:pStyle w:val="TextBody"/>
        <w:bidi w:val="0"/>
        <w:spacing w:before="0" w:after="283"/>
        <w:jc w:val="left"/>
        <w:rPr/>
      </w:pPr>
      <w:r>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Both the QD and QW dosing arms are enrolling concurrently in the U.S. and China.</w:t>
            </w:r>
          </w:p>
        </w:tc>
      </w:tr>
    </w:tbl>
    <w:p>
      <w:pPr>
        <w:pStyle w:val="TextBody"/>
        <w:bidi w:val="0"/>
        <w:spacing w:before="0" w:after="283"/>
        <w:jc w:val="left"/>
        <w:rPr/>
      </w:pPr>
      <w:r>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sz w:val="20"/>
              </w:rPr>
            </w:pPr>
            <w:r>
              <w:rPr>
                <w:sz w:val="20"/>
              </w:rPr>
              <w:t>Additional clinical trial sites in the U.S. will be activated in second half of 2026, in preparation for expansion cohorts.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remains on track to share initial Phase Ia dose escalation data in the first half of 2027 from the QD arm, with a potential early look at the QW arm.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AN4035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AN4035 is a first-in-class RAS-inhibitor antibody drug conjugate (ADC) targeting CEACAM5, with a highly potent pan-RAS(ON) inhibitor payload.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July 2026, the Company received Human Research Ethics Committee (HREC) approval in Australia for the Phase I clinical trial of AN4035 as monotherapy and in combination with cetuximab, in patients with CEACAM5-enriched, RAS-addicted solid tumors.</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170"/>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Investigational New Drug (IND) submissions to the U.S. FDA and China NMPA are expected to follow.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is on track to dose the first patient with AN4035 in the second half of 2026, and initial clinical data is expected to be available in the second half of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AN8025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AN8025 is a next-generation tri-specific antibody fusion protein derived from an approved αPD-L1 antibody and fused with functionally optimized CD86 variant and LAG3 variant.</w:t>
      </w:r>
    </w:p>
    <w:p>
      <w:pPr>
        <w:pStyle w:val="TextBody"/>
        <w:bidi w:val="0"/>
        <w:spacing w:before="0" w:after="0"/>
        <w:ind w:left="0" w:right="0" w:hanging="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global Phase I clinical study of AN8025 is currently ongoing in Australia and China.</w:t>
            </w:r>
          </w:p>
        </w:tc>
      </w:tr>
    </w:tbl>
    <w:p>
      <w:pPr>
        <w:pStyle w:val="TextBody"/>
        <w:bidi w:val="0"/>
        <w:spacing w:before="0" w:after="283"/>
        <w:jc w:val="left"/>
        <w:rPr/>
      </w:pPr>
      <w:r>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remains on track to complete dose escalation by the end of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AN0025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AN0025 is a small molecule EP4 antagonist designed to modulate the tumor microenvironment.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randomized Phase II ARTEMIS (Augmenting RadioTherapy in REctal Cancer to Minimise Invasive Surgery) study of preoperative AN0025 and chemoradiotherapy combination in rectal cancer has completed enrollment and patient follow-up is ongoing.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futility analysis of this Phase II study was successfully passed in March 2026, and the topline results are expected in the first half of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AN4005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AN4005 is an orally available, small-molecule PD-L1 inhibitor that demonstrates antitumor activity by the blockade of PD-1/PD-L1 interaction.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Despite encouraging preliminary results of favorable safety and tolerability in patients with advanced tumors, and preliminary efficacy in a tumor type known to respond to anti-PD-(L)1 therapy, moving forward as part of our strategic pipeline prioritization, we will de-prioritize the development of AN4005 as a monotherapy and remain open for collaboration to explore its potential as a combination partner.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clinical update from the ongoing expansion cohorts is expected to be presented at the 2026 Society for Immunotherapy of Cancer (SITC)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Corporate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February 2026, the Company completed an oversubscribed private placement equity financing, raising $140 million, before deducting placement agent fees and other private placement expenses.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April 2026, the Company completed an oversubscribed private placement equity financing, raising $150 million, before deducting placement agent fees and other expenses.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recently expanded its Scientific Advisory Board with the appointment of two leading medical oncologists, Dr. David Hong of MD Anderson Cancer Center, and Dr. Piro Lito of Memorial Sloan Kettering Cancer Center.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Key Upcoming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AN9025: </w:t>
            </w:r>
            <w:r>
              <w:rPr>
                <w:rFonts w:ascii="Times New Roman;Times;Serif" w:hAnsi="Times New Roman;Times;Serif"/>
              </w:rPr>
              <w:t>Initial Phase Ia clinical data from the QD arm, and possible early look at QW arm, are expected in 1H27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AN4035: </w:t>
            </w:r>
            <w:r>
              <w:rPr>
                <w:rFonts w:ascii="Times New Roman;Times;Serif" w:hAnsi="Times New Roman;Times;Serif"/>
              </w:rPr>
              <w:t>Dosing of first patient in global Phase I trial is expected in 2H26, with initial clinical data in 2H27</w:t>
            </w:r>
          </w:p>
        </w:tc>
      </w:tr>
    </w:tbl>
    <w:p>
      <w:pPr>
        <w:pStyle w:val="TextBody"/>
        <w:bidi w:val="0"/>
        <w:spacing w:before="0" w:after="283"/>
        <w:jc w:val="left"/>
        <w:rPr/>
      </w:pPr>
      <w:r>
        <w:rPr/>
        <w:t> </w:t>
      </w:r>
    </w:p>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AN8025: </w:t>
            </w:r>
            <w:r>
              <w:rPr>
                <w:rFonts w:ascii="Times New Roman;Times;Serif" w:hAnsi="Times New Roman;Times;Serif"/>
              </w:rPr>
              <w:t>Phase I dose escalation completion expected by YE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First Half Unaudited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are prepared in accordance with IFRS as issued by the International Accounting Standards Board (IASB). The consolidated financial statements are presented in US dollars, the Company’s functional and presentation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and cash equivalents, together with short-term investments at amortized cost, amounted to US$231.9 million, compared with US$8.1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US$15.4 million for the six months ended June 30, 2026, compared with US$15.1 million for the six months ended June 30, 2025.</w:t>
      </w:r>
    </w:p>
    <w:p>
      <w:pPr>
        <w:pStyle w:val="TextBody"/>
        <w:bidi w:val="0"/>
        <w:spacing w:before="0" w:after="0"/>
        <w:ind w:left="0" w:right="0" w:firstLine="86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to US$13.1 million for the six months ended June 30, 2026, from nil for the six months ended June 30, 2025, and was entirely attributable to revenue recognized under the Company’s exclusive license agreement with Jiangsu Aosaikang Pharmaceutical Co., Ltd. relating to AN9025, primarily in connection with upfront payments and development milestone achievements.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4% from US$15.2 million for the six months ended June 30, 2025 to US$14.6 million for the six months ended June 30, 2026, primarily due to lower preclinical development costs, as most of the Company’s major research and development programs remained in early-stage development and had not yet advanced into later-stage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43.1% from US$4.1 million for the six months ended June 30, 2025 to US$5.8 million for the six months ended June 30, 2026. The increase was primarily attributable to higher share-based compensation expense associated with the vesting of certain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gains and expenses, net, decreased by 37.1% from US$1.5 million for the six months ended June 30, 2025 to US$0.9 million for the six months ended June 30, 2026, primarily due to a reduction in government grants recognized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described above, the Company’s net loss decreased by 70.9% to US$5.3 million for the six months ended June 30, 2026, from US$18.3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About Adlai Nortye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is a global clinical-stage biopharmaceutical company dedicated to developing innovative cancer therapies. The global infrastructure supports the efficient execution of our robust pipeline of drug candidates covering two key therapeutic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Precision RAS pathway targeted therapies: including the oral pan-RAS(ON) inhibitor AN9025, and the CEACAM5-targeting ADC AN4035 engineered from the Company’s proprietary RASiCA™ (RAS Inhibitor Conjugated Antibody) platform, which efficiently delivers a potent pan-RAS(ON) inhibitor to the tumor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Next-generation PD-1/L1 pathway modulating immunotherapies: including AN8025, a multi-functional fusion protein that simultaneously modulates T cells and antigen-presenting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the Company’s beliefs and expectations, the business outlook and quotations from management in this announcement, as well as the Company’s strategic and operational plans, are or contain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Factors that could cause the Company’s actual results to differ materially from those expressed or implied in such forward-looking statements include, but are not limited to: the initiation, timing, progress and results of the Company’s preclinical studies, clinical trials and other therapeutic candidate development efforts; the Company’s ability to advance its therapeutic candidates into clinical trials or to successfully complete its preclinical studies or clinical trials; whether the clinical trial results will be predictive of real-world results; the Company’s receipt of regulatory approvals for its therapeutic candidates, and the timing of other regulatory filings and approvals; the clinical development, commercialization and market acceptance of the Company’s therapeutic candidates; the Company’s ability to establish, manage, and maintain corporate collaborations, as well as the ability of its collaborators to execute on their development and commercialization plans; the implementation of the Company’s business model and strategic plans for its business and therapeutic candidates; the scope of protection the Company is able to establish and maintain for intellectual property rights covering its therapeutic candidates and its ability to operate its business without infringing the intellectual property rights of others; estimates of the Company’s expenses, future revenues, capital requirements and its needs for and ability to access sufficient additional financing; risks related to changes in healthcare laws, rules and regulations in the PRC and United States or elsewhere. Further information regarding these and other risks is included in the Company’s filings with the SEC. All information provided in this announcement and in the attachments is as of the date of this announcement, and the Company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contact:</w:t>
      </w:r>
      <w:r>
        <w:rPr>
          <w:rFonts w:ascii="Times New Roman;Times;Serif" w:hAnsi="Times New Roman;Times;Serif"/>
          <w:b w:val="false"/>
          <w:i w:val="false"/>
          <w:caps w:val="false"/>
          <w:smallCaps w:val="false"/>
          <w:sz w:val="20"/>
        </w:rPr>
        <w:br/>
        <w:t>Investor Relations</w:t>
        <w:br/>
        <w:t>Email: ir@adlainortye.com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0"/>
        <w:gridCol w:w="60"/>
        <w:gridCol w:w="60"/>
        <w:gridCol w:w="1100"/>
        <w:gridCol w:w="95"/>
        <w:gridCol w:w="60"/>
        <w:gridCol w:w="60"/>
        <w:gridCol w:w="1220"/>
        <w:gridCol w:w="100"/>
      </w:tblGrid>
      <w:tr>
        <w:trPr/>
        <w:tc>
          <w:tcPr>
            <w:tcW w:w="74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100" w:type="dxa"/>
            <w:tcBorders/>
            <w:vAlign w:val="center"/>
          </w:tcPr>
          <w:p>
            <w:pPr>
              <w:pStyle w:val="TableContents"/>
              <w:bidi w:val="0"/>
              <w:spacing w:before="0" w:after="283"/>
              <w:ind w:left="0" w:right="0" w:hanging="180"/>
              <w:jc w:val="left"/>
              <w:rPr/>
            </w:pPr>
            <w:r>
              <w:rPr/>
              <w:t> </w:t>
            </w:r>
          </w:p>
        </w:tc>
      </w:tr>
      <w:tr>
        <w:trPr/>
        <w:tc>
          <w:tcPr>
            <w:tcW w:w="7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00" w:type="dxa"/>
            <w:tcBorders/>
            <w:vAlign w:val="center"/>
          </w:tcPr>
          <w:p>
            <w:pPr>
              <w:pStyle w:val="TableContents"/>
              <w:bidi w:val="0"/>
              <w:spacing w:before="0" w:after="283"/>
              <w:ind w:left="0" w:right="0" w:hanging="180"/>
              <w:jc w:val="left"/>
              <w:rPr/>
            </w:pPr>
            <w:r>
              <w:rPr/>
              <w:t> </w:t>
            </w:r>
          </w:p>
        </w:tc>
      </w:tr>
      <w:tr>
        <w:trPr/>
        <w:tc>
          <w:tcPr>
            <w:tcW w:w="7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$’000</w:t>
            </w:r>
          </w:p>
        </w:tc>
        <w:tc>
          <w:tcPr>
            <w:tcW w:w="100" w:type="dxa"/>
            <w:tcBorders/>
            <w:vAlign w:val="center"/>
          </w:tcPr>
          <w:p>
            <w:pPr>
              <w:pStyle w:val="TableContents"/>
              <w:bidi w:val="0"/>
              <w:spacing w:before="0" w:after="283"/>
              <w:ind w:left="0" w:right="0" w:hanging="180"/>
              <w:jc w:val="left"/>
              <w:rPr/>
            </w:pPr>
            <w:r>
              <w:rPr/>
              <w:t> </w:t>
            </w:r>
          </w:p>
        </w:tc>
      </w:tr>
      <w:tr>
        <w:trPr/>
        <w:tc>
          <w:tcPr>
            <w:tcW w:w="745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13,056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450" w:type="dxa"/>
            <w:tcBorders/>
            <w:shd w:fill="FFFFFF" w:val="clear"/>
            <w:vAlign w:val="center"/>
          </w:tcPr>
          <w:p>
            <w:pPr>
              <w:pStyle w:val="TableContents"/>
              <w:bidi w:val="0"/>
              <w:spacing w:before="0" w:after="283"/>
              <w:jc w:val="left"/>
              <w:rPr/>
            </w:pPr>
            <w:r>
              <w:rPr/>
              <w:t>Other operating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1,624</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450" w:type="dxa"/>
            <w:tcBorders/>
            <w:shd w:fill="CCEEFF" w:val="clear"/>
            <w:vAlign w:val="center"/>
          </w:tcPr>
          <w:p>
            <w:pPr>
              <w:pStyle w:val="TableContents"/>
              <w:bidi w:val="0"/>
              <w:spacing w:before="0" w:after="283"/>
              <w:jc w:val="left"/>
              <w:rPr/>
            </w:pPr>
            <w:r>
              <w:rPr/>
              <w:t>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(5,817</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45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(14,632</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450" w:type="dxa"/>
            <w:tcBorders/>
            <w:shd w:fill="CCEEFF" w:val="clear"/>
            <w:vAlign w:val="center"/>
          </w:tcPr>
          <w:p>
            <w:pPr>
              <w:pStyle w:val="TableContents"/>
              <w:bidi w:val="0"/>
              <w:spacing w:before="0" w:after="283"/>
              <w:jc w:val="left"/>
              <w:rPr>
                <w:b/>
              </w:rPr>
            </w:pPr>
            <w:r>
              <w:rPr>
                <w:b/>
              </w:rPr>
              <w:t>Total 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(19,174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(5,769</w:t>
            </w:r>
          </w:p>
        </w:tc>
        <w:tc>
          <w:tcPr>
            <w:tcW w:w="100" w:type="dxa"/>
            <w:tcBorders/>
            <w:shd w:fill="CCEEFF" w:val="clear"/>
            <w:vAlign w:val="center"/>
          </w:tcPr>
          <w:p>
            <w:pPr>
              <w:pStyle w:val="TableContents"/>
              <w:bidi w:val="0"/>
              <w:spacing w:before="0" w:after="283"/>
              <w:ind w:left="0" w:right="0" w:hanging="180"/>
              <w:jc w:val="left"/>
              <w:rPr>
                <w:b/>
              </w:rPr>
            </w:pPr>
            <w:r>
              <w:rPr>
                <w:b/>
              </w:rPr>
              <w:t>)</w:t>
            </w:r>
          </w:p>
        </w:tc>
      </w:tr>
      <w:tr>
        <w:trPr/>
        <w:tc>
          <w:tcPr>
            <w:tcW w:w="7450" w:type="dxa"/>
            <w:tcBorders/>
            <w:shd w:fill="FFFFFF" w:val="clear"/>
            <w:vAlign w:val="center"/>
          </w:tcPr>
          <w:p>
            <w:pPr>
              <w:pStyle w:val="TableContents"/>
              <w:bidi w:val="0"/>
              <w:spacing w:before="0" w:after="283"/>
              <w:jc w:val="left"/>
              <w:rPr/>
            </w:pPr>
            <w:r>
              <w:rPr/>
              <w:t>Other gains and expenses,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919</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450" w:type="dxa"/>
            <w:tcBorders/>
            <w:shd w:fill="CCEEFF" w:val="clear"/>
            <w:vAlign w:val="center"/>
          </w:tcPr>
          <w:p>
            <w:pPr>
              <w:pStyle w:val="TableContents"/>
              <w:bidi w:val="0"/>
              <w:spacing w:before="0" w:after="283"/>
              <w:jc w:val="left"/>
              <w:rPr/>
            </w:pPr>
            <w:r>
              <w:rPr/>
              <w:t>Investment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450" w:type="dxa"/>
            <w:tcBorders/>
            <w:shd w:fill="FFFFFF" w:val="clear"/>
            <w:vAlign w:val="center"/>
          </w:tcPr>
          <w:p>
            <w:pPr>
              <w:pStyle w:val="TableContents"/>
              <w:bidi w:val="0"/>
              <w:spacing w:before="0" w:after="283"/>
              <w:jc w:val="left"/>
              <w:rPr/>
            </w:pPr>
            <w:r>
              <w:rPr/>
              <w:t>Share of loss of investments accounted for using the equity method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450"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(445</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450" w:type="dxa"/>
            <w:tcBorders/>
            <w:shd w:fill="FFFFFF" w:val="clear"/>
            <w:vAlign w:val="center"/>
          </w:tcPr>
          <w:p>
            <w:pPr>
              <w:pStyle w:val="TableContents"/>
              <w:bidi w:val="0"/>
              <w:spacing w:before="0" w:after="283"/>
              <w:jc w:val="left"/>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(18,335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(5,336</w:t>
            </w:r>
          </w:p>
        </w:tc>
        <w:tc>
          <w:tcPr>
            <w:tcW w:w="100" w:type="dxa"/>
            <w:tcBorders/>
            <w:shd w:fill="FFFFFF" w:val="clear"/>
            <w:vAlign w:val="center"/>
          </w:tcPr>
          <w:p>
            <w:pPr>
              <w:pStyle w:val="TableContents"/>
              <w:bidi w:val="0"/>
              <w:spacing w:before="0" w:after="283"/>
              <w:ind w:left="0" w:right="0" w:hanging="180"/>
              <w:jc w:val="left"/>
              <w:rPr>
                <w:b/>
              </w:rPr>
            </w:pPr>
            <w:r>
              <w:rPr>
                <w:b/>
              </w:rPr>
              <w:t>)</w:t>
            </w:r>
          </w:p>
        </w:tc>
      </w:tr>
      <w:tr>
        <w:trPr/>
        <w:tc>
          <w:tcPr>
            <w:tcW w:w="745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450" w:type="dxa"/>
            <w:tcBorders/>
            <w:shd w:fill="FFFFFF" w:val="clear"/>
            <w:vAlign w:val="center"/>
          </w:tcPr>
          <w:p>
            <w:pPr>
              <w:pStyle w:val="TableContents"/>
              <w:bidi w:val="0"/>
              <w:spacing w:before="0" w:after="283"/>
              <w:jc w:val="left"/>
              <w:rPr>
                <w:b/>
              </w:rPr>
            </w:pPr>
            <w:r>
              <w:rPr>
                <w:b/>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(18,335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(5,336</w:t>
            </w:r>
          </w:p>
        </w:tc>
        <w:tc>
          <w:tcPr>
            <w:tcW w:w="100" w:type="dxa"/>
            <w:tcBorders/>
            <w:shd w:fill="FFFFFF" w:val="clear"/>
            <w:vAlign w:val="center"/>
          </w:tcPr>
          <w:p>
            <w:pPr>
              <w:pStyle w:val="TableContents"/>
              <w:bidi w:val="0"/>
              <w:spacing w:before="0" w:after="283"/>
              <w:ind w:left="0" w:right="0" w:hanging="180"/>
              <w:jc w:val="left"/>
              <w:rPr>
                <w:b/>
              </w:rPr>
            </w:pPr>
            <w:r>
              <w:rPr>
                <w:b/>
              </w:rPr>
              <w:t>)</w:t>
            </w:r>
          </w:p>
        </w:tc>
      </w:tr>
      <w:tr>
        <w:trPr/>
        <w:tc>
          <w:tcPr>
            <w:tcW w:w="7450" w:type="dxa"/>
            <w:tcBorders/>
            <w:shd w:fill="CCEEFF" w:val="clear"/>
            <w:vAlign w:val="center"/>
          </w:tcPr>
          <w:p>
            <w:pPr>
              <w:pStyle w:val="TableContents"/>
              <w:bidi w:val="0"/>
              <w:spacing w:before="0" w:after="283"/>
              <w:jc w:val="left"/>
              <w:rPr/>
            </w:pPr>
            <w:r>
              <w:rPr/>
              <w:t>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450" w:type="dxa"/>
            <w:tcBorders/>
            <w:shd w:fill="FFFFFF" w:val="clear"/>
            <w:vAlign w:val="center"/>
          </w:tcPr>
          <w:p>
            <w:pPr>
              <w:pStyle w:val="TableContents"/>
              <w:bidi w:val="0"/>
              <w:spacing w:before="0" w:after="283"/>
              <w:jc w:val="left"/>
              <w:rPr/>
            </w:pPr>
            <w:r>
              <w:rPr/>
              <w:t>Ordinary Equity Holders of the Parent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(18,335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(5,336</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450" w:type="dxa"/>
            <w:tcBorders/>
            <w:shd w:fill="CCEEFF" w:val="clear"/>
            <w:vAlign w:val="center"/>
          </w:tcPr>
          <w:p>
            <w:pPr>
              <w:pStyle w:val="TableContents"/>
              <w:bidi w:val="0"/>
              <w:spacing w:before="0" w:after="283"/>
              <w:jc w:val="left"/>
              <w:rPr>
                <w:b/>
              </w:rPr>
            </w:pPr>
            <w:r>
              <w:rPr>
                <w:b/>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450" w:type="dxa"/>
            <w:tcBorders/>
            <w:shd w:fill="FFFFFF" w:val="clear"/>
            <w:vAlign w:val="center"/>
          </w:tcPr>
          <w:p>
            <w:pPr>
              <w:pStyle w:val="TableContents"/>
              <w:bidi w:val="0"/>
              <w:spacing w:before="0" w:after="283"/>
              <w:jc w:val="left"/>
              <w:rPr/>
            </w:pPr>
            <w:r>
              <w:rPr/>
              <w:t>Exchange differences on translation of the financial statements of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450" w:type="dxa"/>
            <w:tcBorders/>
            <w:shd w:fill="CCEEFF" w:val="clear"/>
            <w:vAlign w:val="center"/>
          </w:tcPr>
          <w:p>
            <w:pPr>
              <w:pStyle w:val="TableContents"/>
              <w:bidi w:val="0"/>
              <w:spacing w:before="0" w:after="283"/>
              <w:jc w:val="left"/>
              <w:rPr/>
            </w:pPr>
            <w:r>
              <w:rPr/>
              <w:t>Other comprehensive loss for the period,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450" w:type="dxa"/>
            <w:tcBorders/>
            <w:shd w:fill="FFFFFF" w:val="clear"/>
            <w:vAlign w:val="center"/>
          </w:tcPr>
          <w:p>
            <w:pPr>
              <w:pStyle w:val="TableContents"/>
              <w:bidi w:val="0"/>
              <w:spacing w:before="0" w:after="283"/>
              <w:jc w:val="left"/>
              <w:rPr>
                <w:b/>
              </w:rPr>
            </w:pPr>
            <w:r>
              <w:rPr>
                <w:b/>
              </w:rPr>
              <w:t>TOTAL COMPREHENSIVE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(18,253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(5,335</w:t>
            </w:r>
          </w:p>
        </w:tc>
        <w:tc>
          <w:tcPr>
            <w:tcW w:w="100" w:type="dxa"/>
            <w:tcBorders/>
            <w:shd w:fill="FFFFFF" w:val="clear"/>
            <w:vAlign w:val="center"/>
          </w:tcPr>
          <w:p>
            <w:pPr>
              <w:pStyle w:val="TableContents"/>
              <w:bidi w:val="0"/>
              <w:spacing w:before="0" w:after="283"/>
              <w:ind w:left="0" w:right="0" w:hanging="180"/>
              <w:jc w:val="left"/>
              <w:rPr>
                <w:b/>
              </w:rPr>
            </w:pPr>
            <w:r>
              <w:rPr>
                <w:b/>
              </w:rPr>
              <w:t>)</w:t>
            </w:r>
          </w:p>
        </w:tc>
      </w:tr>
      <w:tr>
        <w:trPr/>
        <w:tc>
          <w:tcPr>
            <w:tcW w:w="7450" w:type="dxa"/>
            <w:tcBorders/>
            <w:shd w:fill="CCEEFF" w:val="clear"/>
            <w:vAlign w:val="center"/>
          </w:tcPr>
          <w:p>
            <w:pPr>
              <w:pStyle w:val="TableContents"/>
              <w:bidi w:val="0"/>
              <w:spacing w:before="0" w:after="283"/>
              <w:jc w:val="left"/>
              <w:rPr/>
            </w:pPr>
            <w:r>
              <w:rPr/>
              <w:t>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450" w:type="dxa"/>
            <w:tcBorders/>
            <w:shd w:fill="FFFFFF" w:val="clear"/>
            <w:vAlign w:val="center"/>
          </w:tcPr>
          <w:p>
            <w:pPr>
              <w:pStyle w:val="TableContents"/>
              <w:bidi w:val="0"/>
              <w:spacing w:before="0" w:after="283"/>
              <w:jc w:val="left"/>
              <w:rPr/>
            </w:pPr>
            <w:r>
              <w:rPr/>
              <w:t>Ordinary Equity Holders of the Parent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(5,335</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450" w:type="dxa"/>
            <w:tcBorders/>
            <w:shd w:fill="CCEEFF" w:val="clear"/>
            <w:vAlign w:val="center"/>
          </w:tcPr>
          <w:p>
            <w:pPr>
              <w:pStyle w:val="TableContents"/>
              <w:bidi w:val="0"/>
              <w:spacing w:before="0" w:after="283"/>
              <w:jc w:val="left"/>
              <w:rPr/>
            </w:pPr>
            <w:r>
              <w:rPr/>
              <w:t>LOSS PER SHARE ATTRIBUTABLE TO ORDINARY EQUITY HOLDERS OF THE PARENT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45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450" w:type="dxa"/>
            <w:tcBorders/>
            <w:shd w:fill="CCEEFF" w:val="clear"/>
            <w:vAlign w:val="center"/>
          </w:tcPr>
          <w:p>
            <w:pPr>
              <w:pStyle w:val="TableContents"/>
              <w:bidi w:val="0"/>
              <w:spacing w:before="0" w:after="283"/>
              <w:jc w:val="left"/>
              <w:rPr/>
            </w:pPr>
            <w:r>
              <w:rPr/>
              <w:t>Loss for the period ($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(0.04</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450" w:type="dxa"/>
            <w:tcBorders/>
            <w:shd w:fill="FFFFFF" w:val="clear"/>
            <w:vAlign w:val="center"/>
          </w:tcPr>
          <w:p>
            <w:pPr>
              <w:pStyle w:val="TableContents"/>
              <w:bidi w:val="0"/>
              <w:spacing w:before="0" w:after="283"/>
              <w:jc w:val="left"/>
              <w:rPr/>
            </w:pPr>
            <w:r>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95,862,790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143,294,754</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9822" w:type="dxa"/>
        <w:jc w:val="left"/>
        <w:tblInd w:w="0" w:type="dxa"/>
        <w:tblLayout w:type="fixed"/>
        <w:tblCellMar>
          <w:top w:w="0" w:type="dxa"/>
          <w:left w:w="0" w:type="dxa"/>
          <w:bottom w:w="0" w:type="dxa"/>
          <w:right w:w="0" w:type="dxa"/>
        </w:tblCellMar>
      </w:tblPr>
      <w:tblGrid>
        <w:gridCol w:w="7685"/>
        <w:gridCol w:w="60"/>
        <w:gridCol w:w="64"/>
        <w:gridCol w:w="812"/>
        <w:gridCol w:w="102"/>
        <w:gridCol w:w="64"/>
        <w:gridCol w:w="64"/>
        <w:gridCol w:w="861"/>
        <w:gridCol w:w="110"/>
      </w:tblGrid>
      <w:tr>
        <w:trPr/>
        <w:tc>
          <w:tcPr>
            <w:tcW w:w="7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7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7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vAlign w:val="center"/>
          </w:tcPr>
          <w:p>
            <w:pPr>
              <w:pStyle w:val="TableContents"/>
              <w:bidi w:val="0"/>
              <w:spacing w:before="0" w:after="283"/>
              <w:jc w:val="center"/>
              <w:rPr>
                <w:b/>
              </w:rPr>
            </w:pPr>
            <w:r>
              <w:rPr>
                <w:b/>
              </w:rPr>
              <w:t>$’000</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center"/>
              <w:rPr>
                <w:b/>
              </w:rPr>
            </w:pPr>
            <w:r>
              <w:rPr>
                <w:b/>
              </w:rPr>
              <w:t>$’000</w:t>
            </w:r>
          </w:p>
        </w:tc>
        <w:tc>
          <w:tcPr>
            <w:tcW w:w="110" w:type="dxa"/>
            <w:tcBorders/>
            <w:vAlign w:val="center"/>
          </w:tcPr>
          <w:p>
            <w:pPr>
              <w:pStyle w:val="TableContents"/>
              <w:bidi w:val="0"/>
              <w:spacing w:before="0" w:after="283"/>
              <w:ind w:left="0" w:right="0" w:hanging="180"/>
              <w:jc w:val="left"/>
              <w:rPr/>
            </w:pPr>
            <w:r>
              <w:rPr/>
              <w:t> </w:t>
            </w:r>
          </w:p>
        </w:tc>
      </w:tr>
      <w:tr>
        <w:trPr/>
        <w:tc>
          <w:tcPr>
            <w:tcW w:w="7685"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(15,121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(15,354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685" w:type="dxa"/>
            <w:tcBorders/>
            <w:shd w:fill="FFFFFF" w:val="clear"/>
            <w:vAlign w:val="center"/>
          </w:tcPr>
          <w:p>
            <w:pPr>
              <w:pStyle w:val="TableContents"/>
              <w:bidi w:val="0"/>
              <w:spacing w:before="0" w:after="283"/>
              <w:jc w:val="left"/>
              <w:rPr/>
            </w:pPr>
            <w:r>
              <w:rPr/>
              <w:t>Net 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(18,181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(83,744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685"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16,584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223,141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685" w:type="dxa"/>
            <w:tcBorders/>
            <w:shd w:fill="FFFFFF" w:val="clear"/>
            <w:vAlign w:val="center"/>
          </w:tcPr>
          <w:p>
            <w:pPr>
              <w:pStyle w:val="TableContents"/>
              <w:bidi w:val="0"/>
              <w:spacing w:before="0" w:after="283"/>
              <w:jc w:val="left"/>
              <w:rPr>
                <w:b/>
              </w:rPr>
            </w:pPr>
            <w:r>
              <w:rPr>
                <w:b/>
              </w:rPr>
              <w:t>NET (DECREASE)/INCREASE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b/>
              </w:rPr>
            </w:pPr>
            <w:r>
              <w:rPr>
                <w:b/>
              </w:rPr>
              <w:t>(16,718</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b/>
              </w:rPr>
            </w:pPr>
            <w:r>
              <w:rPr>
                <w:b/>
              </w:rPr>
              <w:t>124,043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685" w:type="dxa"/>
            <w:tcBorders/>
            <w:shd w:fill="CCEEFF" w:val="clear"/>
            <w:vAlign w:val="center"/>
          </w:tcPr>
          <w:p>
            <w:pPr>
              <w:pStyle w:val="TableContents"/>
              <w:bidi w:val="0"/>
              <w:spacing w:before="0" w:after="283"/>
              <w:jc w:val="left"/>
              <w:rPr/>
            </w:pPr>
            <w:r>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60,902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8,056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685" w:type="dxa"/>
            <w:tcBorders/>
            <w:shd w:fill="FFFFFF" w:val="clear"/>
            <w:vAlign w:val="center"/>
          </w:tcPr>
          <w:p>
            <w:pPr>
              <w:pStyle w:val="TableContents"/>
              <w:bidi w:val="0"/>
              <w:spacing w:before="0" w:after="283"/>
              <w:jc w:val="left"/>
              <w:rPr/>
            </w:pPr>
            <w:r>
              <w:rPr/>
              <w:t>Effect of foreign exchange rate changes, net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34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491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685" w:type="dxa"/>
            <w:tcBorders/>
            <w:shd w:fill="CCEEFF" w:val="clear"/>
            <w:vAlign w:val="center"/>
          </w:tcPr>
          <w:p>
            <w:pPr>
              <w:pStyle w:val="TableContents"/>
              <w:bidi w:val="0"/>
              <w:spacing w:before="0" w:after="283"/>
              <w:jc w:val="left"/>
              <w:rPr>
                <w:b/>
              </w:rPr>
            </w:pPr>
            <w:r>
              <w:rPr>
                <w:b/>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b/>
              </w:rPr>
            </w:pPr>
            <w:r>
              <w:rPr>
                <w:b/>
              </w:rPr>
              <w:t>44,218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b/>
              </w:rPr>
            </w:pPr>
            <w:r>
              <w:rPr>
                <w:b/>
              </w:rPr>
              <w:t>132,590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29"/>
        <w:gridCol w:w="60"/>
        <w:gridCol w:w="91"/>
        <w:gridCol w:w="1346"/>
        <w:gridCol w:w="95"/>
        <w:gridCol w:w="60"/>
        <w:gridCol w:w="60"/>
        <w:gridCol w:w="875"/>
        <w:gridCol w:w="89"/>
      </w:tblGrid>
      <w:tr>
        <w:trPr/>
        <w:tc>
          <w:tcPr>
            <w:tcW w:w="752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89" w:type="dxa"/>
            <w:tcBorders/>
            <w:vAlign w:val="center"/>
          </w:tcPr>
          <w:p>
            <w:pPr>
              <w:pStyle w:val="TableContents"/>
              <w:bidi w:val="0"/>
              <w:spacing w:before="0" w:after="283"/>
              <w:ind w:left="0" w:right="0" w:hanging="180"/>
              <w:jc w:val="left"/>
              <w:rPr/>
            </w:pPr>
            <w:r>
              <w:rPr/>
              <w:t> </w:t>
            </w:r>
          </w:p>
        </w:tc>
      </w:tr>
      <w:tr>
        <w:trPr/>
        <w:tc>
          <w:tcPr>
            <w:tcW w:w="75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89" w:type="dxa"/>
            <w:tcBorders/>
            <w:vAlign w:val="center"/>
          </w:tcPr>
          <w:p>
            <w:pPr>
              <w:pStyle w:val="TableContents"/>
              <w:bidi w:val="0"/>
              <w:spacing w:before="0" w:after="283"/>
              <w:ind w:left="0" w:right="0" w:hanging="180"/>
              <w:jc w:val="left"/>
              <w:rPr/>
            </w:pPr>
            <w:r>
              <w:rPr/>
              <w:t> </w:t>
            </w:r>
          </w:p>
        </w:tc>
      </w:tr>
      <w:tr>
        <w:trPr/>
        <w:tc>
          <w:tcPr>
            <w:tcW w:w="75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$’000</w:t>
            </w:r>
          </w:p>
        </w:tc>
        <w:tc>
          <w:tcPr>
            <w:tcW w:w="89" w:type="dxa"/>
            <w:tcBorders/>
            <w:vAlign w:val="center"/>
          </w:tcPr>
          <w:p>
            <w:pPr>
              <w:pStyle w:val="TableContents"/>
              <w:bidi w:val="0"/>
              <w:spacing w:before="0" w:after="283"/>
              <w:ind w:left="0" w:right="0" w:hanging="180"/>
              <w:jc w:val="left"/>
              <w:rPr/>
            </w:pPr>
            <w:r>
              <w:rPr/>
              <w:t> </w:t>
            </w:r>
          </w:p>
        </w:tc>
      </w:tr>
      <w:tr>
        <w:trPr/>
        <w:tc>
          <w:tcPr>
            <w:tcW w:w="7529"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529"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8,056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132,590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15,730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80</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Financial assets at FVTPL</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Short-term investments at amortized cost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99,296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264</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Prepayments, other receivables and other assets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3,091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7,702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Other receivables -related party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240,879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Property, plant and equipment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1,105</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1,749</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Other intangible assets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Other receivables and other assets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Long-term equity investments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4,249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4,341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7,483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248,362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12,638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3,741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2,223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Interest-bearing bank borrowings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24,582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17,619</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772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25,224</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Long-term borrowings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7,341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8,310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33,534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Class A Ordinary shares (par value of $0.0001 per share; 103,010,803 shares outstanding as of December 31, 2025; and 176,203,813 shares outstanding as of  June 30, 2026)</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Class B Ordinary shares (par value of $0.0001 per share; 16,990,000 shares outstanding as of December 31, 2025 and June 30,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439,266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670,208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pPr>
            <w:r>
              <w:rPr/>
              <w:t>Share based payments reserve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21,592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19,128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529" w:type="dxa"/>
            <w:tcBorders/>
            <w:shd w:fill="FFFFFF" w:val="clear"/>
            <w:vAlign w:val="center"/>
          </w:tcPr>
          <w:p>
            <w:pPr>
              <w:pStyle w:val="TableContents"/>
              <w:bidi w:val="0"/>
              <w:spacing w:before="0" w:after="283"/>
              <w:jc w:val="left"/>
              <w:rPr/>
            </w:pPr>
            <w:r>
              <w:rPr/>
              <w:t>Exchange fluctuation reserve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(4,346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(4,345</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52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pPr>
            <w:r>
              <w:rPr/>
              <w:t>(464,846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(470,182</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529"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(8,322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214,828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529"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248,362</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4"/>
        <w:gridCol w:w="60"/>
        <w:gridCol w:w="183"/>
        <w:gridCol w:w="797"/>
        <w:gridCol w:w="60"/>
        <w:gridCol w:w="60"/>
        <w:gridCol w:w="76"/>
        <w:gridCol w:w="1024"/>
        <w:gridCol w:w="60"/>
        <w:gridCol w:w="60"/>
        <w:gridCol w:w="61"/>
        <w:gridCol w:w="694"/>
        <w:gridCol w:w="95"/>
        <w:gridCol w:w="60"/>
        <w:gridCol w:w="96"/>
        <w:gridCol w:w="1019"/>
        <w:gridCol w:w="95"/>
        <w:gridCol w:w="60"/>
        <w:gridCol w:w="87"/>
        <w:gridCol w:w="1283"/>
        <w:gridCol w:w="95"/>
        <w:gridCol w:w="60"/>
        <w:gridCol w:w="60"/>
        <w:gridCol w:w="800"/>
        <w:gridCol w:w="86"/>
      </w:tblGrid>
      <w:tr>
        <w:trPr/>
        <w:tc>
          <w:tcPr>
            <w:tcW w:w="31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8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Attributable to owners of the parent</w:t>
            </w:r>
          </w:p>
        </w:tc>
        <w:tc>
          <w:tcPr>
            <w:tcW w:w="86" w:type="dxa"/>
            <w:tcBorders/>
            <w:vAlign w:val="center"/>
          </w:tcPr>
          <w:p>
            <w:pPr>
              <w:pStyle w:val="TableContents"/>
              <w:bidi w:val="0"/>
              <w:spacing w:before="0" w:after="283"/>
              <w:jc w:val="left"/>
              <w:rPr/>
            </w:pPr>
            <w:r>
              <w:rPr/>
              <w:t> </w:t>
            </w:r>
          </w:p>
        </w:tc>
      </w:tr>
      <w:tr>
        <w:trPr/>
        <w:tc>
          <w:tcPr>
            <w:tcW w:w="31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w:t>
              <w:b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br/>
              <w:t>option</w:t>
              <w:b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Exchange</w:t>
              <w:br/>
              <w:t>fluctuation</w:t>
              <w:b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deficits</w:t>
            </w:r>
          </w:p>
        </w:tc>
        <w:tc>
          <w:tcPr>
            <w:tcW w:w="86" w:type="dxa"/>
            <w:tcBorders/>
            <w:vAlign w:val="center"/>
          </w:tcPr>
          <w:p>
            <w:pPr>
              <w:pStyle w:val="TableContents"/>
              <w:bidi w:val="0"/>
              <w:spacing w:before="0" w:after="283"/>
              <w:jc w:val="left"/>
              <w:rPr/>
            </w:pPr>
            <w:r>
              <w:rPr/>
              <w:t> </w:t>
            </w:r>
          </w:p>
        </w:tc>
      </w:tr>
      <w:tr>
        <w:trPr/>
        <w:tc>
          <w:tcPr>
            <w:tcW w:w="31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$’000</w:t>
            </w:r>
          </w:p>
        </w:tc>
        <w:tc>
          <w:tcPr>
            <w:tcW w:w="86" w:type="dxa"/>
            <w:tcBorders/>
            <w:vAlign w:val="center"/>
          </w:tcPr>
          <w:p>
            <w:pPr>
              <w:pStyle w:val="TableContents"/>
              <w:bidi w:val="0"/>
              <w:spacing w:before="0" w:after="283"/>
              <w:ind w:left="0" w:right="0" w:hanging="180"/>
              <w:jc w:val="left"/>
              <w:rPr/>
            </w:pPr>
            <w:r>
              <w:rPr/>
              <w:t> </w:t>
            </w:r>
          </w:p>
        </w:tc>
      </w:tr>
      <w:tr>
        <w:trPr/>
        <w:tc>
          <w:tcPr>
            <w:tcW w:w="3174" w:type="dxa"/>
            <w:tcBorders/>
            <w:shd w:fill="CCEEFF" w:val="clear"/>
            <w:vAlign w:val="center"/>
          </w:tcPr>
          <w:p>
            <w:pPr>
              <w:pStyle w:val="TableContents"/>
              <w:bidi w:val="0"/>
              <w:spacing w:before="0" w:after="283"/>
              <w:jc w:val="left"/>
              <w:rPr/>
            </w:pPr>
            <w:r>
              <w:rPr/>
              <w:t>At January 1, 2025</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7"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439,016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20,311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(4,535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(429,318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25,485</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174"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(18,335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(18,335</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3174" w:type="dxa"/>
            <w:tcBorders/>
            <w:shd w:fill="CCEEFF" w:val="clear"/>
            <w:vAlign w:val="center"/>
          </w:tcPr>
          <w:p>
            <w:pPr>
              <w:pStyle w:val="TableContents"/>
              <w:bidi w:val="0"/>
              <w:spacing w:before="0" w:after="283"/>
              <w:jc w:val="left"/>
              <w:rPr/>
            </w:pPr>
            <w:r>
              <w:rPr/>
              <w:t>Vesting of restricted shares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174" w:type="dxa"/>
            <w:tcBorders/>
            <w:shd w:fill="FFFFFF" w:val="clear"/>
            <w:vAlign w:val="center"/>
          </w:tcPr>
          <w:p>
            <w:pPr>
              <w:pStyle w:val="TableContents"/>
              <w:bidi w:val="0"/>
              <w:spacing w:before="0" w:after="283"/>
              <w:jc w:val="left"/>
              <w:rPr/>
            </w:pPr>
            <w:r>
              <w:rPr/>
              <w:t>Other comprehensive income for the period:</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174" w:type="dxa"/>
            <w:tcBorders/>
            <w:shd w:fill="CCEEFF" w:val="clear"/>
            <w:vAlign w:val="center"/>
          </w:tcPr>
          <w:p>
            <w:pPr>
              <w:pStyle w:val="TableContents"/>
              <w:bidi w:val="0"/>
              <w:spacing w:before="0" w:after="283"/>
              <w:jc w:val="left"/>
              <w:rPr/>
            </w:pPr>
            <w:r>
              <w:rPr/>
              <w:t>Exchange differences on translation of the financial statements of subsidiaries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174"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689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174" w:type="dxa"/>
            <w:tcBorders/>
            <w:shd w:fill="CCEEFF" w:val="clear"/>
            <w:vAlign w:val="center"/>
          </w:tcPr>
          <w:p>
            <w:pPr>
              <w:pStyle w:val="TableContents"/>
              <w:bidi w:val="0"/>
              <w:spacing w:before="0" w:after="283"/>
              <w:jc w:val="left"/>
              <w:rPr/>
            </w:pPr>
            <w:r>
              <w:rPr/>
              <w:t>At June 30, 2025</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7"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439,173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20,843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CCEEFF" w:val="clear"/>
            <w:tcMar>
              <w:bottom w:w="28" w:type="dxa"/>
            </w:tcMar>
            <w:vAlign w:val="center"/>
          </w:tcPr>
          <w:p>
            <w:pPr>
              <w:pStyle w:val="TableContents"/>
              <w:bidi w:val="0"/>
              <w:spacing w:before="0" w:after="283"/>
              <w:jc w:val="right"/>
              <w:rPr/>
            </w:pPr>
            <w:r>
              <w:rPr/>
              <w:t>(4,453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(447,653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7,921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174" w:type="dxa"/>
            <w:tcBorders/>
            <w:shd w:fill="FFFFFF" w:val="clear"/>
            <w:vAlign w:val="center"/>
          </w:tcPr>
          <w:p>
            <w:pPr>
              <w:pStyle w:val="TableContents"/>
              <w:bidi w:val="0"/>
              <w:spacing w:before="0" w:after="283"/>
              <w:jc w:val="left"/>
              <w:rPr/>
            </w:pPr>
            <w:r>
              <w:rPr/>
              <w:t>At January 1, 2026</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7"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439,266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21,592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(4,346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(464,846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(8,322</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3174"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(5,336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(5,336</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3174" w:type="dxa"/>
            <w:tcBorders/>
            <w:shd w:fill="FFFFFF" w:val="clear"/>
            <w:vAlign w:val="center"/>
          </w:tcPr>
          <w:p>
            <w:pPr>
              <w:pStyle w:val="TableContents"/>
              <w:bidi w:val="0"/>
              <w:spacing w:before="0" w:after="283"/>
              <w:jc w:val="left"/>
              <w:rPr/>
            </w:pPr>
            <w:r>
              <w:rPr/>
              <w:t>Issuance of ordinary shares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224,430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224,437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174" w:type="dxa"/>
            <w:tcBorders/>
            <w:shd w:fill="CCEEFF" w:val="clear"/>
            <w:vAlign w:val="center"/>
          </w:tcPr>
          <w:p>
            <w:pPr>
              <w:pStyle w:val="TableContents"/>
              <w:bidi w:val="0"/>
              <w:spacing w:before="0" w:after="283"/>
              <w:jc w:val="left"/>
              <w:rPr/>
            </w:pPr>
            <w:r>
              <w:rPr/>
              <w:t>Exercise of share options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(2,786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174" w:type="dxa"/>
            <w:tcBorders/>
            <w:shd w:fill="FFFFFF" w:val="clear"/>
            <w:vAlign w:val="center"/>
          </w:tcPr>
          <w:p>
            <w:pPr>
              <w:pStyle w:val="TableContents"/>
              <w:bidi w:val="0"/>
              <w:spacing w:before="0" w:after="283"/>
              <w:jc w:val="left"/>
              <w:rPr/>
            </w:pPr>
            <w:r>
              <w:rPr/>
              <w:t>Vesting of restricted shares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(1,422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174" w:type="dxa"/>
            <w:tcBorders/>
            <w:shd w:fill="CCEEFF" w:val="clear"/>
            <w:vAlign w:val="center"/>
          </w:tcPr>
          <w:p>
            <w:pPr>
              <w:pStyle w:val="TableContents"/>
              <w:bidi w:val="0"/>
              <w:spacing w:before="0" w:after="283"/>
              <w:jc w:val="left"/>
              <w:rPr/>
            </w:pPr>
            <w:r>
              <w:rPr/>
              <w:t>Other comprehensive income for the period:</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174" w:type="dxa"/>
            <w:tcBorders/>
            <w:shd w:fill="FFFFFF" w:val="clear"/>
            <w:vAlign w:val="center"/>
          </w:tcPr>
          <w:p>
            <w:pPr>
              <w:pStyle w:val="TableContents"/>
              <w:bidi w:val="0"/>
              <w:spacing w:before="0" w:after="283"/>
              <w:jc w:val="left"/>
              <w:rPr/>
            </w:pPr>
            <w:r>
              <w:rPr/>
              <w:t>Exchange differences on translation of the financial statements of subsidiaries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174"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1,744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1,744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174" w:type="dxa"/>
            <w:tcBorders/>
            <w:shd w:fill="FFFFFF" w:val="clear"/>
            <w:vAlign w:val="center"/>
          </w:tcPr>
          <w:p>
            <w:pPr>
              <w:pStyle w:val="TableContents"/>
              <w:bidi w:val="0"/>
              <w:spacing w:before="0" w:after="283"/>
              <w:jc w:val="left"/>
              <w:rPr/>
            </w:pPr>
            <w:r>
              <w:rPr/>
              <w:t>At June 30, 2026</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7" w:type="dxa"/>
            <w:tcBorders>
              <w:bottom w:val="double" w:sz="10" w:space="0" w:color="000000"/>
            </w:tcBorders>
            <w:shd w:fill="FFFFFF" w:val="clear"/>
            <w:tcMar>
              <w:bottom w:w="28" w:type="dxa"/>
            </w:tcM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FFFFFF" w:val="clear"/>
            <w:tcMar>
              <w:bottom w:w="28" w:type="dxa"/>
            </w:tcMar>
            <w:vAlign w:val="center"/>
          </w:tcPr>
          <w:p>
            <w:pPr>
              <w:pStyle w:val="TableContents"/>
              <w:bidi w:val="0"/>
              <w:spacing w:before="0" w:after="283"/>
              <w:jc w:val="right"/>
              <w:rPr/>
            </w:pPr>
            <w:r>
              <w:rPr/>
              <w:t>670,208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double" w:sz="10" w:space="0" w:color="000000"/>
            </w:tcBorders>
            <w:shd w:fill="FFFFFF" w:val="clear"/>
            <w:tcMar>
              <w:bottom w:w="28" w:type="dxa"/>
            </w:tcMar>
            <w:vAlign w:val="center"/>
          </w:tcPr>
          <w:p>
            <w:pPr>
              <w:pStyle w:val="TableContents"/>
              <w:bidi w:val="0"/>
              <w:spacing w:before="0" w:after="283"/>
              <w:jc w:val="right"/>
              <w:rPr/>
            </w:pPr>
            <w:r>
              <w:rPr/>
              <w:t>19,128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FFFFFF" w:val="clear"/>
            <w:tcMar>
              <w:bottom w:w="28" w:type="dxa"/>
            </w:tcMar>
            <w:vAlign w:val="center"/>
          </w:tcPr>
          <w:p>
            <w:pPr>
              <w:pStyle w:val="TableContents"/>
              <w:bidi w:val="0"/>
              <w:spacing w:before="0" w:after="283"/>
              <w:jc w:val="right"/>
              <w:rPr/>
            </w:pPr>
            <w:r>
              <w:rPr/>
              <w:t>(4,345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FFFFFF" w:val="clear"/>
            <w:tcMar>
              <w:bottom w:w="28" w:type="dxa"/>
            </w:tcMar>
            <w:vAlign w:val="center"/>
          </w:tcPr>
          <w:p>
            <w:pPr>
              <w:pStyle w:val="TableContents"/>
              <w:bidi w:val="0"/>
              <w:spacing w:before="0" w:after="283"/>
              <w:jc w:val="right"/>
              <w:rPr/>
            </w:pPr>
            <w:r>
              <w:rPr/>
              <w:t>(470,182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214,828</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590"/>
        <w:gridCol w:w="4880"/>
      </w:tblGrid>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Ltd.</w:t>
            </w:r>
          </w:p>
        </w:tc>
      </w:tr>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44552/000121390025087802/ea0256955-s8_adlai.htm" TargetMode="External"/><Relationship Id="rId3" Type="http://schemas.openxmlformats.org/officeDocument/2006/relationships/hyperlink" Target="https://www.sec.gov/Archives/edgar/data/1944552/000110465924060578/tm2414039d1_s8.htm" TargetMode="External"/><Relationship Id="rId4" Type="http://schemas.openxmlformats.org/officeDocument/2006/relationships/hyperlink" Target="https://www.sec.gov/Archives/edgar/data/1944552/000121390026025453/ea0280498-f3_adlainorty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2719</Words>
  <Characters>15251</Characters>
  <CharactersWithSpaces>18410</CharactersWithSpaces>
  <Paragraphs>1361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